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4A50D">
      <w:pPr>
        <w:autoSpaceDE w:val="0"/>
        <w:autoSpaceDN w:val="0"/>
        <w:adjustRightInd w:val="0"/>
        <w:jc w:val="center"/>
        <w:rPr>
          <w:rFonts w:eastAsia="楷体_GB2312"/>
          <w:b/>
          <w:color w:val="FF0000"/>
          <w:sz w:val="36"/>
          <w:szCs w:val="36"/>
        </w:rPr>
      </w:pPr>
    </w:p>
    <w:p w14:paraId="3A74E44A">
      <w:pPr>
        <w:autoSpaceDE w:val="0"/>
        <w:autoSpaceDN w:val="0"/>
        <w:adjustRightInd w:val="0"/>
        <w:jc w:val="center"/>
        <w:rPr>
          <w:rFonts w:eastAsia="楷体_GB2312"/>
          <w:b/>
          <w:color w:val="FF0000"/>
          <w:sz w:val="36"/>
          <w:szCs w:val="36"/>
        </w:rPr>
      </w:pPr>
    </w:p>
    <w:p w14:paraId="013D0F8E">
      <w:pPr>
        <w:autoSpaceDE w:val="0"/>
        <w:autoSpaceDN w:val="0"/>
        <w:adjustRightInd w:val="0"/>
        <w:spacing w:line="1000" w:lineRule="exact"/>
        <w:jc w:val="center"/>
        <w:rPr>
          <w:rFonts w:ascii="华文新魏" w:hAnsi="Arial Narrow" w:eastAsia="华文新魏"/>
          <w:b/>
          <w:bCs/>
          <w:sz w:val="100"/>
          <w:szCs w:val="100"/>
        </w:rPr>
      </w:pPr>
      <w:r>
        <w:rPr>
          <w:rFonts w:hint="eastAsia" w:ascii="华文新魏" w:eastAsia="华文新魏"/>
          <w:b/>
          <w:bCs/>
          <w:sz w:val="100"/>
          <w:szCs w:val="100"/>
          <w:lang w:val="zh-CN"/>
        </w:rPr>
        <w:t>政府采购竞争性</w:t>
      </w:r>
    </w:p>
    <w:p w14:paraId="2976E6C1">
      <w:pPr>
        <w:autoSpaceDE w:val="0"/>
        <w:autoSpaceDN w:val="0"/>
        <w:adjustRightInd w:val="0"/>
        <w:spacing w:line="1000" w:lineRule="exact"/>
        <w:jc w:val="center"/>
        <w:rPr>
          <w:rFonts w:ascii="华文新魏" w:hAnsi="Arial Narrow" w:eastAsia="华文新魏"/>
          <w:b/>
          <w:bCs/>
          <w:sz w:val="100"/>
          <w:szCs w:val="100"/>
          <w:lang w:val="zh-CN"/>
        </w:rPr>
      </w:pPr>
      <w:r>
        <w:rPr>
          <w:rFonts w:hint="eastAsia" w:ascii="华文新魏" w:hAnsi="Arial Narrow" w:eastAsia="华文新魏"/>
          <w:b/>
          <w:bCs/>
          <w:sz w:val="100"/>
          <w:szCs w:val="100"/>
          <w:lang w:val="zh-CN"/>
        </w:rPr>
        <w:t>磋商文件</w:t>
      </w:r>
    </w:p>
    <w:p w14:paraId="0EDFD6AE">
      <w:pPr>
        <w:autoSpaceDE w:val="0"/>
        <w:autoSpaceDN w:val="0"/>
        <w:adjustRightInd w:val="0"/>
        <w:spacing w:line="1000" w:lineRule="exact"/>
        <w:jc w:val="center"/>
        <w:rPr>
          <w:rFonts w:ascii="华文新魏" w:hAnsi="Arial Narrow" w:eastAsia="华文新魏"/>
          <w:b/>
          <w:bCs/>
          <w:sz w:val="100"/>
          <w:szCs w:val="100"/>
        </w:rPr>
      </w:pPr>
    </w:p>
    <w:p w14:paraId="0ABD7B7D">
      <w:pPr>
        <w:autoSpaceDE w:val="0"/>
        <w:autoSpaceDN w:val="0"/>
        <w:adjustRightInd w:val="0"/>
        <w:spacing w:line="1000" w:lineRule="exact"/>
        <w:jc w:val="center"/>
        <w:rPr>
          <w:rFonts w:ascii="华文新魏" w:hAnsi="Arial Narrow" w:eastAsia="华文新魏"/>
          <w:b/>
          <w:bCs/>
          <w:sz w:val="100"/>
          <w:szCs w:val="100"/>
        </w:rPr>
      </w:pPr>
    </w:p>
    <w:p w14:paraId="3476CF4A">
      <w:pPr>
        <w:spacing w:line="500" w:lineRule="exact"/>
        <w:ind w:left="2209" w:hanging="2209" w:hangingChars="500"/>
        <w:jc w:val="both"/>
        <w:rPr>
          <w:rFonts w:hint="eastAsia" w:ascii="宋体" w:hAnsi="宋体" w:eastAsia="宋体"/>
          <w:b/>
          <w:kern w:val="0"/>
          <w:sz w:val="44"/>
          <w:szCs w:val="44"/>
          <w:u w:val="single"/>
          <w:lang w:eastAsia="zh-CN"/>
        </w:rPr>
      </w:pPr>
      <w:r>
        <w:rPr>
          <w:rFonts w:hint="eastAsia" w:ascii="宋体" w:hAnsi="宋体"/>
          <w:b/>
          <w:kern w:val="0"/>
          <w:sz w:val="44"/>
          <w:szCs w:val="44"/>
        </w:rPr>
        <w:t>项目名称：</w:t>
      </w:r>
      <w:r>
        <w:rPr>
          <w:rFonts w:hint="eastAsia" w:ascii="宋体" w:hAnsi="宋体"/>
          <w:b/>
          <w:kern w:val="0"/>
          <w:sz w:val="44"/>
          <w:szCs w:val="44"/>
          <w:u w:val="single"/>
        </w:rPr>
        <w:t>海门数字人大系统网络安全等级保护测评项目</w:t>
      </w:r>
      <w:r>
        <w:rPr>
          <w:rFonts w:hint="eastAsia" w:ascii="宋体" w:hAnsi="宋体"/>
          <w:b/>
          <w:kern w:val="0"/>
          <w:sz w:val="44"/>
          <w:szCs w:val="44"/>
          <w:u w:val="single"/>
          <w:lang w:eastAsia="zh-CN"/>
        </w:rPr>
        <w:t>（</w:t>
      </w:r>
      <w:r>
        <w:rPr>
          <w:rFonts w:hint="eastAsia" w:ascii="宋体" w:hAnsi="宋体"/>
          <w:b/>
          <w:kern w:val="0"/>
          <w:sz w:val="44"/>
          <w:szCs w:val="44"/>
          <w:u w:val="single"/>
          <w:lang w:val="en-US" w:eastAsia="zh-CN"/>
        </w:rPr>
        <w:t>二次</w:t>
      </w:r>
      <w:r>
        <w:rPr>
          <w:rFonts w:hint="eastAsia" w:ascii="宋体" w:hAnsi="宋体"/>
          <w:b/>
          <w:kern w:val="0"/>
          <w:sz w:val="44"/>
          <w:szCs w:val="44"/>
          <w:u w:val="single"/>
          <w:lang w:eastAsia="zh-CN"/>
        </w:rPr>
        <w:t>）</w:t>
      </w:r>
    </w:p>
    <w:p w14:paraId="35FED10D">
      <w:pPr>
        <w:spacing w:line="500" w:lineRule="exact"/>
        <w:ind w:left="1811" w:hanging="1811" w:hangingChars="501"/>
        <w:jc w:val="left"/>
        <w:rPr>
          <w:rFonts w:hint="eastAsia" w:ascii="宋体" w:hAnsi="宋体"/>
          <w:b/>
          <w:kern w:val="0"/>
          <w:sz w:val="36"/>
          <w:szCs w:val="36"/>
        </w:rPr>
      </w:pPr>
    </w:p>
    <w:p w14:paraId="2202ACA8">
      <w:pPr>
        <w:autoSpaceDE w:val="0"/>
        <w:autoSpaceDN w:val="0"/>
        <w:adjustRightInd w:val="0"/>
        <w:spacing w:line="360" w:lineRule="auto"/>
        <w:ind w:firstLine="420"/>
        <w:jc w:val="center"/>
        <w:rPr>
          <w:rFonts w:eastAsia="黑体"/>
          <w:szCs w:val="21"/>
        </w:rPr>
      </w:pPr>
    </w:p>
    <w:p w14:paraId="098AEA66">
      <w:pPr>
        <w:autoSpaceDE w:val="0"/>
        <w:autoSpaceDN w:val="0"/>
        <w:adjustRightInd w:val="0"/>
        <w:spacing w:line="360" w:lineRule="auto"/>
        <w:ind w:firstLine="420"/>
        <w:jc w:val="center"/>
        <w:rPr>
          <w:rFonts w:eastAsia="黑体"/>
          <w:szCs w:val="21"/>
        </w:rPr>
      </w:pPr>
    </w:p>
    <w:p w14:paraId="1F685126">
      <w:pPr>
        <w:autoSpaceDE w:val="0"/>
        <w:autoSpaceDN w:val="0"/>
        <w:adjustRightInd w:val="0"/>
        <w:spacing w:line="360" w:lineRule="auto"/>
        <w:ind w:firstLine="420"/>
        <w:jc w:val="center"/>
        <w:rPr>
          <w:rFonts w:eastAsia="黑体"/>
          <w:szCs w:val="21"/>
        </w:rPr>
      </w:pPr>
    </w:p>
    <w:p w14:paraId="1735E078">
      <w:pPr>
        <w:autoSpaceDE w:val="0"/>
        <w:autoSpaceDN w:val="0"/>
        <w:adjustRightInd w:val="0"/>
        <w:spacing w:line="360" w:lineRule="auto"/>
        <w:ind w:firstLine="420"/>
        <w:jc w:val="center"/>
        <w:rPr>
          <w:rFonts w:eastAsia="黑体"/>
          <w:szCs w:val="21"/>
        </w:rPr>
      </w:pPr>
    </w:p>
    <w:p w14:paraId="02E61945">
      <w:pPr>
        <w:autoSpaceDE w:val="0"/>
        <w:autoSpaceDN w:val="0"/>
        <w:adjustRightInd w:val="0"/>
        <w:spacing w:line="360" w:lineRule="auto"/>
        <w:ind w:firstLine="420"/>
        <w:jc w:val="center"/>
        <w:rPr>
          <w:rFonts w:eastAsia="黑体"/>
          <w:szCs w:val="21"/>
        </w:rPr>
      </w:pPr>
    </w:p>
    <w:p w14:paraId="33307333">
      <w:pPr>
        <w:autoSpaceDE w:val="0"/>
        <w:autoSpaceDN w:val="0"/>
        <w:adjustRightInd w:val="0"/>
        <w:spacing w:line="360" w:lineRule="auto"/>
        <w:ind w:firstLine="420"/>
        <w:jc w:val="center"/>
        <w:rPr>
          <w:rFonts w:eastAsia="黑体"/>
          <w:szCs w:val="21"/>
        </w:rPr>
      </w:pPr>
    </w:p>
    <w:p w14:paraId="42489ABA">
      <w:pPr>
        <w:autoSpaceDE w:val="0"/>
        <w:autoSpaceDN w:val="0"/>
        <w:adjustRightInd w:val="0"/>
        <w:spacing w:line="360" w:lineRule="auto"/>
        <w:ind w:firstLine="420"/>
        <w:jc w:val="center"/>
        <w:rPr>
          <w:rFonts w:eastAsia="黑体"/>
          <w:szCs w:val="21"/>
        </w:rPr>
      </w:pPr>
    </w:p>
    <w:p w14:paraId="7715351E">
      <w:pPr>
        <w:autoSpaceDE w:val="0"/>
        <w:autoSpaceDN w:val="0"/>
        <w:adjustRightInd w:val="0"/>
        <w:spacing w:line="360" w:lineRule="auto"/>
        <w:ind w:firstLine="420"/>
        <w:jc w:val="center"/>
        <w:rPr>
          <w:rFonts w:eastAsia="黑体"/>
          <w:szCs w:val="21"/>
        </w:rPr>
      </w:pPr>
    </w:p>
    <w:p w14:paraId="4B39F137">
      <w:pPr>
        <w:autoSpaceDE w:val="0"/>
        <w:autoSpaceDN w:val="0"/>
        <w:adjustRightInd w:val="0"/>
        <w:spacing w:line="360" w:lineRule="auto"/>
        <w:ind w:firstLine="420"/>
        <w:jc w:val="center"/>
        <w:rPr>
          <w:rFonts w:eastAsia="黑体"/>
          <w:szCs w:val="21"/>
        </w:rPr>
      </w:pPr>
    </w:p>
    <w:p w14:paraId="10874685">
      <w:pPr>
        <w:autoSpaceDE w:val="0"/>
        <w:autoSpaceDN w:val="0"/>
        <w:adjustRightInd w:val="0"/>
        <w:spacing w:line="360" w:lineRule="auto"/>
        <w:ind w:firstLine="420"/>
        <w:jc w:val="center"/>
        <w:rPr>
          <w:rFonts w:eastAsia="黑体"/>
          <w:szCs w:val="21"/>
        </w:rPr>
      </w:pPr>
    </w:p>
    <w:p w14:paraId="67A2EB22">
      <w:pPr>
        <w:autoSpaceDE w:val="0"/>
        <w:autoSpaceDN w:val="0"/>
        <w:adjustRightInd w:val="0"/>
        <w:spacing w:line="360" w:lineRule="auto"/>
        <w:ind w:firstLine="420"/>
        <w:jc w:val="center"/>
        <w:rPr>
          <w:rFonts w:eastAsia="黑体"/>
          <w:szCs w:val="21"/>
        </w:rPr>
      </w:pPr>
    </w:p>
    <w:p w14:paraId="12DC2DD7">
      <w:pPr>
        <w:autoSpaceDE w:val="0"/>
        <w:autoSpaceDN w:val="0"/>
        <w:adjustRightInd w:val="0"/>
        <w:spacing w:line="360" w:lineRule="auto"/>
        <w:ind w:firstLine="420"/>
        <w:jc w:val="center"/>
        <w:rPr>
          <w:rFonts w:eastAsia="黑体"/>
          <w:szCs w:val="21"/>
        </w:rPr>
      </w:pPr>
    </w:p>
    <w:p w14:paraId="2DAE49AE">
      <w:pPr>
        <w:autoSpaceDE w:val="0"/>
        <w:autoSpaceDN w:val="0"/>
        <w:adjustRightInd w:val="0"/>
        <w:spacing w:line="360" w:lineRule="auto"/>
        <w:ind w:firstLine="420"/>
        <w:jc w:val="center"/>
        <w:rPr>
          <w:rFonts w:eastAsia="黑体"/>
          <w:szCs w:val="21"/>
        </w:rPr>
      </w:pPr>
    </w:p>
    <w:p w14:paraId="08FE0810">
      <w:pPr>
        <w:autoSpaceDE w:val="0"/>
        <w:autoSpaceDN w:val="0"/>
        <w:adjustRightInd w:val="0"/>
        <w:spacing w:line="360" w:lineRule="auto"/>
        <w:ind w:firstLine="420"/>
        <w:jc w:val="center"/>
        <w:rPr>
          <w:rFonts w:eastAsia="黑体"/>
          <w:szCs w:val="21"/>
        </w:rPr>
      </w:pPr>
    </w:p>
    <w:p w14:paraId="4B560E7D">
      <w:pPr>
        <w:autoSpaceDE w:val="0"/>
        <w:autoSpaceDN w:val="0"/>
        <w:adjustRightInd w:val="0"/>
        <w:spacing w:line="360" w:lineRule="auto"/>
        <w:ind w:firstLine="420"/>
        <w:jc w:val="center"/>
        <w:rPr>
          <w:rFonts w:eastAsia="黑体"/>
          <w:szCs w:val="21"/>
        </w:rPr>
      </w:pPr>
    </w:p>
    <w:p w14:paraId="43106068">
      <w:pPr>
        <w:autoSpaceDE w:val="0"/>
        <w:autoSpaceDN w:val="0"/>
        <w:adjustRightInd w:val="0"/>
        <w:spacing w:line="360" w:lineRule="auto"/>
        <w:ind w:firstLine="420"/>
        <w:jc w:val="center"/>
        <w:rPr>
          <w:szCs w:val="21"/>
        </w:rPr>
      </w:pPr>
    </w:p>
    <w:p w14:paraId="58CA1532">
      <w:pPr>
        <w:spacing w:line="500" w:lineRule="exact"/>
        <w:jc w:val="center"/>
        <w:rPr>
          <w:rFonts w:ascii="楷体_GB2312" w:eastAsia="楷体_GB2312"/>
          <w:b/>
          <w:spacing w:val="20"/>
          <w:sz w:val="36"/>
          <w:szCs w:val="36"/>
        </w:rPr>
      </w:pPr>
      <w:r>
        <w:rPr>
          <w:rFonts w:hint="eastAsia" w:ascii="楷体_GB2312" w:eastAsia="楷体_GB2312"/>
          <w:b/>
          <w:spacing w:val="20"/>
          <w:sz w:val="36"/>
          <w:szCs w:val="36"/>
        </w:rPr>
        <w:t>南通市海门区人民代表大会常务委员会办公室</w:t>
      </w:r>
    </w:p>
    <w:p w14:paraId="7C13E1B5">
      <w:pPr>
        <w:spacing w:line="500" w:lineRule="exact"/>
        <w:jc w:val="center"/>
        <w:rPr>
          <w:rFonts w:ascii="仿宋_GB2312" w:eastAsia="仿宋_GB2312"/>
          <w:b/>
          <w:sz w:val="36"/>
          <w:szCs w:val="36"/>
        </w:rPr>
      </w:pPr>
      <w:r>
        <w:rPr>
          <w:rFonts w:hint="eastAsia" w:ascii="仿宋_GB2312" w:eastAsia="仿宋_GB2312"/>
          <w:b/>
          <w:color w:val="FF0000"/>
          <w:sz w:val="36"/>
          <w:szCs w:val="36"/>
        </w:rPr>
        <w:t>2025</w:t>
      </w:r>
      <w:r>
        <w:rPr>
          <w:rFonts w:hint="eastAsia" w:ascii="仿宋_GB2312" w:eastAsia="仿宋_GB2312"/>
          <w:b/>
          <w:sz w:val="36"/>
          <w:szCs w:val="36"/>
        </w:rPr>
        <w:t>年</w:t>
      </w:r>
      <w:r>
        <w:rPr>
          <w:rFonts w:hint="eastAsia" w:ascii="仿宋_GB2312" w:eastAsia="仿宋_GB2312"/>
          <w:b/>
          <w:color w:val="FF0000"/>
          <w:sz w:val="36"/>
          <w:szCs w:val="36"/>
          <w:lang w:val="en-US" w:eastAsia="zh-CN"/>
        </w:rPr>
        <w:t>8</w:t>
      </w:r>
      <w:r>
        <w:rPr>
          <w:rFonts w:hint="eastAsia" w:ascii="仿宋_GB2312" w:eastAsia="仿宋_GB2312"/>
          <w:b/>
          <w:sz w:val="36"/>
          <w:szCs w:val="36"/>
        </w:rPr>
        <w:t>月</w:t>
      </w:r>
      <w:r>
        <w:rPr>
          <w:rFonts w:hint="eastAsia" w:ascii="仿宋_GB2312" w:eastAsia="仿宋_GB2312"/>
          <w:b/>
          <w:color w:val="FF0000"/>
          <w:sz w:val="36"/>
          <w:szCs w:val="36"/>
          <w:lang w:val="en-US" w:eastAsia="zh-CN"/>
        </w:rPr>
        <w:t>11</w:t>
      </w:r>
      <w:r>
        <w:rPr>
          <w:rFonts w:hint="eastAsia" w:ascii="仿宋_GB2312" w:eastAsia="仿宋_GB2312"/>
          <w:b/>
          <w:sz w:val="36"/>
          <w:szCs w:val="36"/>
        </w:rPr>
        <w:t>日</w:t>
      </w:r>
    </w:p>
    <w:p w14:paraId="7831F79C">
      <w:pPr>
        <w:adjustRightInd w:val="0"/>
        <w:snapToGrid w:val="0"/>
        <w:ind w:left="-158" w:leftChars="-75" w:right="-601" w:rightChars="-286"/>
        <w:rPr>
          <w:rFonts w:hint="eastAsia" w:ascii="宋体" w:hAnsi="宋体"/>
          <w:b/>
          <w:snapToGrid w:val="0"/>
          <w:sz w:val="30"/>
          <w:szCs w:val="30"/>
        </w:rPr>
      </w:pPr>
    </w:p>
    <w:p w14:paraId="45C8B467">
      <w:pPr>
        <w:adjustRightInd w:val="0"/>
        <w:snapToGrid w:val="0"/>
        <w:ind w:left="-158" w:leftChars="-75" w:right="-601" w:rightChars="-286"/>
        <w:rPr>
          <w:rFonts w:ascii="楷体_GB2312" w:eastAsia="楷体_GB2312"/>
          <w:b/>
          <w:bCs/>
          <w:sz w:val="44"/>
          <w:szCs w:val="44"/>
        </w:rPr>
      </w:pPr>
      <w:r>
        <w:rPr>
          <w:rFonts w:hint="eastAsia" w:ascii="宋体" w:hAnsi="宋体"/>
          <w:snapToGrid w:val="0"/>
          <w:sz w:val="26"/>
          <w:szCs w:val="28"/>
        </w:rPr>
        <w:t xml:space="preserve">   </w:t>
      </w:r>
    </w:p>
    <w:p w14:paraId="33D46FD3">
      <w:pPr>
        <w:autoSpaceDE w:val="0"/>
        <w:autoSpaceDN w:val="0"/>
        <w:adjustRightInd w:val="0"/>
        <w:spacing w:line="360" w:lineRule="auto"/>
        <w:jc w:val="center"/>
        <w:outlineLvl w:val="0"/>
        <w:rPr>
          <w:rFonts w:ascii="楷体_GB2312" w:eastAsia="楷体_GB2312"/>
          <w:b/>
          <w:bCs/>
          <w:sz w:val="44"/>
          <w:szCs w:val="44"/>
          <w:lang w:val="zh-CN"/>
        </w:rPr>
      </w:pPr>
      <w:r>
        <w:rPr>
          <w:rFonts w:hint="eastAsia" w:ascii="楷体_GB2312" w:eastAsia="楷体_GB2312"/>
          <w:b/>
          <w:bCs/>
          <w:sz w:val="44"/>
          <w:szCs w:val="44"/>
          <w:lang w:val="zh-CN"/>
        </w:rPr>
        <w:t>目   录</w:t>
      </w:r>
    </w:p>
    <w:p w14:paraId="24059C5B">
      <w:pPr>
        <w:autoSpaceDE w:val="0"/>
        <w:autoSpaceDN w:val="0"/>
        <w:adjustRightInd w:val="0"/>
        <w:spacing w:line="480" w:lineRule="auto"/>
        <w:ind w:firstLine="556"/>
        <w:rPr>
          <w:rFonts w:ascii="楷体_GB2312" w:eastAsia="楷体_GB2312"/>
          <w:b/>
          <w:bCs/>
          <w:sz w:val="32"/>
          <w:szCs w:val="32"/>
        </w:rPr>
      </w:pPr>
    </w:p>
    <w:p w14:paraId="1B980291">
      <w:pPr>
        <w:autoSpaceDE w:val="0"/>
        <w:autoSpaceDN w:val="0"/>
        <w:adjustRightInd w:val="0"/>
        <w:spacing w:line="480" w:lineRule="auto"/>
        <w:ind w:firstLine="556"/>
        <w:rPr>
          <w:rFonts w:ascii="楷体_GB2312" w:eastAsia="楷体_GB2312"/>
          <w:b/>
          <w:sz w:val="32"/>
          <w:szCs w:val="32"/>
          <w:lang w:val="zh-CN"/>
        </w:rPr>
      </w:pPr>
      <w:r>
        <w:rPr>
          <w:rFonts w:hint="eastAsia" w:ascii="楷体_GB2312" w:eastAsia="楷体_GB2312"/>
          <w:b/>
          <w:bCs/>
          <w:sz w:val="32"/>
          <w:szCs w:val="32"/>
        </w:rPr>
        <w:t>第一部分  竞争性磋商</w:t>
      </w:r>
      <w:r>
        <w:rPr>
          <w:rFonts w:hint="eastAsia" w:ascii="楷体_GB2312" w:eastAsia="楷体_GB2312"/>
          <w:b/>
          <w:sz w:val="32"/>
          <w:szCs w:val="32"/>
          <w:lang w:val="zh-CN"/>
        </w:rPr>
        <w:t>公告</w:t>
      </w:r>
    </w:p>
    <w:p w14:paraId="732AA343">
      <w:pPr>
        <w:autoSpaceDE w:val="0"/>
        <w:autoSpaceDN w:val="0"/>
        <w:adjustRightInd w:val="0"/>
        <w:spacing w:line="480" w:lineRule="auto"/>
        <w:ind w:firstLine="556"/>
        <w:rPr>
          <w:rFonts w:ascii="楷体_GB2312" w:eastAsia="楷体_GB2312"/>
          <w:b/>
          <w:sz w:val="32"/>
          <w:szCs w:val="32"/>
          <w:lang w:val="zh-CN"/>
        </w:rPr>
      </w:pPr>
      <w:r>
        <w:rPr>
          <w:rFonts w:hint="eastAsia" w:ascii="楷体_GB2312" w:eastAsia="楷体_GB2312"/>
          <w:b/>
          <w:bCs/>
          <w:sz w:val="32"/>
          <w:szCs w:val="32"/>
        </w:rPr>
        <w:t>第二部分  磋商</w:t>
      </w:r>
      <w:r>
        <w:rPr>
          <w:rFonts w:hint="eastAsia" w:ascii="楷体_GB2312" w:eastAsia="楷体_GB2312"/>
          <w:b/>
          <w:sz w:val="32"/>
          <w:szCs w:val="32"/>
          <w:lang w:val="zh-CN"/>
        </w:rPr>
        <w:t>须知</w:t>
      </w:r>
    </w:p>
    <w:p w14:paraId="59E151CF">
      <w:pPr>
        <w:autoSpaceDE w:val="0"/>
        <w:autoSpaceDN w:val="0"/>
        <w:adjustRightInd w:val="0"/>
        <w:spacing w:line="480" w:lineRule="auto"/>
        <w:ind w:firstLine="537"/>
        <w:rPr>
          <w:rFonts w:ascii="楷体_GB2312" w:eastAsia="楷体_GB2312"/>
          <w:b/>
          <w:sz w:val="32"/>
          <w:szCs w:val="32"/>
          <w:lang w:val="zh-CN"/>
        </w:rPr>
      </w:pPr>
      <w:r>
        <w:rPr>
          <w:rFonts w:hint="eastAsia" w:ascii="楷体_GB2312" w:eastAsia="楷体_GB2312"/>
          <w:b/>
          <w:bCs/>
          <w:sz w:val="32"/>
          <w:szCs w:val="32"/>
        </w:rPr>
        <w:t xml:space="preserve">第三部分  </w:t>
      </w:r>
      <w:r>
        <w:rPr>
          <w:rFonts w:hint="eastAsia" w:ascii="楷体_GB2312" w:eastAsia="楷体_GB2312"/>
          <w:b/>
          <w:sz w:val="32"/>
          <w:szCs w:val="32"/>
          <w:lang w:val="zh-CN"/>
        </w:rPr>
        <w:t>项目需求</w:t>
      </w:r>
    </w:p>
    <w:p w14:paraId="45417F67">
      <w:pPr>
        <w:autoSpaceDE w:val="0"/>
        <w:autoSpaceDN w:val="0"/>
        <w:adjustRightInd w:val="0"/>
        <w:spacing w:line="480" w:lineRule="auto"/>
        <w:ind w:firstLine="537"/>
        <w:rPr>
          <w:rFonts w:ascii="楷体_GB2312" w:eastAsia="楷体_GB2312"/>
          <w:b/>
          <w:sz w:val="32"/>
          <w:szCs w:val="32"/>
          <w:lang w:val="zh-CN"/>
        </w:rPr>
      </w:pPr>
      <w:r>
        <w:rPr>
          <w:rFonts w:hint="eastAsia" w:ascii="楷体_GB2312" w:eastAsia="楷体_GB2312"/>
          <w:b/>
          <w:bCs/>
          <w:sz w:val="32"/>
          <w:szCs w:val="32"/>
        </w:rPr>
        <w:t>第四部分  磋商</w:t>
      </w:r>
      <w:r>
        <w:rPr>
          <w:rFonts w:hint="eastAsia" w:ascii="楷体_GB2312" w:eastAsia="楷体_GB2312"/>
          <w:b/>
          <w:sz w:val="32"/>
          <w:szCs w:val="32"/>
          <w:lang w:val="zh-CN"/>
        </w:rPr>
        <w:t>程序和内容</w:t>
      </w:r>
    </w:p>
    <w:p w14:paraId="1238E295">
      <w:pPr>
        <w:autoSpaceDE w:val="0"/>
        <w:autoSpaceDN w:val="0"/>
        <w:adjustRightInd w:val="0"/>
        <w:spacing w:line="480" w:lineRule="auto"/>
        <w:ind w:firstLine="556"/>
        <w:rPr>
          <w:rFonts w:ascii="楷体_GB2312" w:eastAsia="楷体_GB2312"/>
          <w:b/>
          <w:bCs/>
          <w:sz w:val="32"/>
          <w:szCs w:val="32"/>
        </w:rPr>
      </w:pPr>
      <w:r>
        <w:rPr>
          <w:rFonts w:hint="eastAsia" w:ascii="楷体_GB2312" w:eastAsia="楷体_GB2312"/>
          <w:b/>
          <w:bCs/>
          <w:sz w:val="32"/>
          <w:szCs w:val="32"/>
        </w:rPr>
        <w:t>第五部分  合同签订与验收付款</w:t>
      </w:r>
    </w:p>
    <w:p w14:paraId="5F141444">
      <w:pPr>
        <w:autoSpaceDE w:val="0"/>
        <w:autoSpaceDN w:val="0"/>
        <w:adjustRightInd w:val="0"/>
        <w:spacing w:line="480" w:lineRule="auto"/>
        <w:ind w:firstLine="556"/>
        <w:rPr>
          <w:rFonts w:ascii="楷体_GB2312" w:eastAsia="楷体_GB2312"/>
          <w:b/>
          <w:bCs/>
          <w:sz w:val="32"/>
          <w:szCs w:val="32"/>
        </w:rPr>
      </w:pPr>
      <w:r>
        <w:rPr>
          <w:rFonts w:hint="eastAsia" w:ascii="楷体_GB2312" w:eastAsia="楷体_GB2312"/>
          <w:b/>
          <w:bCs/>
          <w:sz w:val="32"/>
          <w:szCs w:val="32"/>
        </w:rPr>
        <w:t>第六部分  质疑提出和处理</w:t>
      </w:r>
    </w:p>
    <w:p w14:paraId="4FF7AC48">
      <w:pPr>
        <w:autoSpaceDE w:val="0"/>
        <w:autoSpaceDN w:val="0"/>
        <w:adjustRightInd w:val="0"/>
        <w:spacing w:line="480" w:lineRule="auto"/>
        <w:ind w:firstLine="556"/>
        <w:rPr>
          <w:rFonts w:ascii="楷体_GB2312" w:eastAsia="楷体_GB2312"/>
          <w:b/>
          <w:spacing w:val="2"/>
          <w:sz w:val="32"/>
          <w:szCs w:val="32"/>
        </w:rPr>
      </w:pPr>
      <w:r>
        <w:rPr>
          <w:rFonts w:hint="eastAsia" w:ascii="楷体_GB2312" w:eastAsia="楷体_GB2312"/>
          <w:b/>
          <w:bCs/>
          <w:sz w:val="32"/>
          <w:szCs w:val="32"/>
        </w:rPr>
        <w:t>第七部分  响应</w:t>
      </w:r>
      <w:r>
        <w:rPr>
          <w:rFonts w:hint="eastAsia" w:ascii="楷体_GB2312" w:eastAsia="楷体_GB2312"/>
          <w:b/>
          <w:sz w:val="32"/>
          <w:szCs w:val="32"/>
          <w:lang w:val="zh-CN"/>
        </w:rPr>
        <w:t>文件</w:t>
      </w:r>
      <w:r>
        <w:rPr>
          <w:rFonts w:hint="eastAsia" w:ascii="楷体_GB2312" w:eastAsia="楷体_GB2312"/>
          <w:b/>
          <w:bCs/>
          <w:sz w:val="32"/>
          <w:szCs w:val="32"/>
        </w:rPr>
        <w:t>组成</w:t>
      </w:r>
    </w:p>
    <w:p w14:paraId="08A825F9">
      <w:pPr>
        <w:tabs>
          <w:tab w:val="left" w:pos="7740"/>
        </w:tabs>
        <w:spacing w:line="500" w:lineRule="exact"/>
        <w:rPr>
          <w:rFonts w:ascii="楷体_GB2312" w:eastAsia="楷体_GB2312"/>
          <w:b/>
          <w:spacing w:val="2"/>
          <w:sz w:val="32"/>
          <w:szCs w:val="32"/>
        </w:rPr>
      </w:pPr>
    </w:p>
    <w:p w14:paraId="19EF76C0">
      <w:pPr>
        <w:autoSpaceDE w:val="0"/>
        <w:autoSpaceDN w:val="0"/>
        <w:adjustRightInd w:val="0"/>
        <w:spacing w:line="540" w:lineRule="exact"/>
        <w:rPr>
          <w:rFonts w:ascii="黑体" w:eastAsia="黑体"/>
          <w:b/>
          <w:bCs/>
          <w:sz w:val="36"/>
          <w:szCs w:val="36"/>
          <w:lang w:val="zh-CN"/>
        </w:rPr>
      </w:pPr>
    </w:p>
    <w:p w14:paraId="6EBDEC14">
      <w:pPr>
        <w:autoSpaceDE w:val="0"/>
        <w:autoSpaceDN w:val="0"/>
        <w:adjustRightInd w:val="0"/>
        <w:spacing w:line="540" w:lineRule="exact"/>
        <w:rPr>
          <w:rFonts w:ascii="黑体" w:eastAsia="黑体"/>
          <w:b/>
          <w:bCs/>
          <w:sz w:val="36"/>
          <w:szCs w:val="36"/>
          <w:lang w:val="zh-CN"/>
        </w:rPr>
      </w:pPr>
    </w:p>
    <w:p w14:paraId="2AE9CB54">
      <w:pPr>
        <w:autoSpaceDE w:val="0"/>
        <w:autoSpaceDN w:val="0"/>
        <w:adjustRightInd w:val="0"/>
        <w:spacing w:line="540" w:lineRule="exact"/>
        <w:rPr>
          <w:rFonts w:ascii="黑体" w:eastAsia="黑体"/>
          <w:b/>
          <w:bCs/>
          <w:sz w:val="36"/>
          <w:szCs w:val="36"/>
          <w:lang w:val="zh-CN"/>
        </w:rPr>
      </w:pPr>
    </w:p>
    <w:p w14:paraId="0B30B9D4">
      <w:pPr>
        <w:autoSpaceDE w:val="0"/>
        <w:autoSpaceDN w:val="0"/>
        <w:adjustRightInd w:val="0"/>
        <w:spacing w:line="540" w:lineRule="exact"/>
        <w:rPr>
          <w:rFonts w:ascii="黑体" w:eastAsia="黑体"/>
          <w:b/>
          <w:bCs/>
          <w:sz w:val="36"/>
          <w:szCs w:val="36"/>
          <w:lang w:val="zh-CN"/>
        </w:rPr>
      </w:pPr>
    </w:p>
    <w:p w14:paraId="1765E39A">
      <w:pPr>
        <w:autoSpaceDE w:val="0"/>
        <w:autoSpaceDN w:val="0"/>
        <w:adjustRightInd w:val="0"/>
        <w:spacing w:line="540" w:lineRule="exact"/>
        <w:rPr>
          <w:rFonts w:ascii="黑体" w:eastAsia="黑体"/>
          <w:b/>
          <w:bCs/>
          <w:sz w:val="36"/>
          <w:szCs w:val="36"/>
          <w:lang w:val="zh-CN"/>
        </w:rPr>
      </w:pPr>
    </w:p>
    <w:p w14:paraId="09168738">
      <w:pPr>
        <w:autoSpaceDE w:val="0"/>
        <w:autoSpaceDN w:val="0"/>
        <w:adjustRightInd w:val="0"/>
        <w:spacing w:line="540" w:lineRule="exact"/>
        <w:rPr>
          <w:rFonts w:ascii="黑体" w:eastAsia="黑体"/>
          <w:b/>
          <w:bCs/>
          <w:sz w:val="36"/>
          <w:szCs w:val="36"/>
          <w:lang w:val="zh-CN"/>
        </w:rPr>
      </w:pPr>
    </w:p>
    <w:p w14:paraId="46EF7CC6">
      <w:pPr>
        <w:autoSpaceDE w:val="0"/>
        <w:autoSpaceDN w:val="0"/>
        <w:adjustRightInd w:val="0"/>
        <w:spacing w:line="540" w:lineRule="exact"/>
        <w:rPr>
          <w:rFonts w:ascii="黑体" w:eastAsia="黑体"/>
          <w:b/>
          <w:bCs/>
          <w:sz w:val="36"/>
          <w:szCs w:val="36"/>
          <w:lang w:val="zh-CN"/>
        </w:rPr>
      </w:pPr>
    </w:p>
    <w:p w14:paraId="600F5B6C">
      <w:pPr>
        <w:autoSpaceDE w:val="0"/>
        <w:autoSpaceDN w:val="0"/>
        <w:adjustRightInd w:val="0"/>
        <w:snapToGrid w:val="0"/>
        <w:spacing w:line="300" w:lineRule="auto"/>
        <w:rPr>
          <w:rFonts w:ascii="黑体" w:eastAsia="黑体"/>
          <w:b/>
          <w:bCs/>
          <w:sz w:val="36"/>
          <w:szCs w:val="36"/>
          <w:lang w:val="zh-CN"/>
        </w:rPr>
      </w:pPr>
    </w:p>
    <w:p w14:paraId="4B988B6B">
      <w:pPr>
        <w:pStyle w:val="2"/>
        <w:ind w:firstLine="0"/>
        <w:rPr>
          <w:rFonts w:hint="eastAsia"/>
          <w:lang w:val="zh-CN"/>
        </w:rPr>
      </w:pPr>
    </w:p>
    <w:p w14:paraId="5302470E">
      <w:pPr>
        <w:numPr>
          <w:ilvl w:val="0"/>
          <w:numId w:val="1"/>
        </w:numPr>
        <w:autoSpaceDE w:val="0"/>
        <w:autoSpaceDN w:val="0"/>
        <w:adjustRightInd w:val="0"/>
        <w:snapToGrid w:val="0"/>
        <w:spacing w:line="300" w:lineRule="auto"/>
        <w:jc w:val="center"/>
        <w:outlineLvl w:val="0"/>
        <w:rPr>
          <w:rFonts w:ascii="仿宋_GB2312" w:eastAsia="仿宋_GB2312"/>
          <w:b/>
          <w:bCs/>
          <w:sz w:val="36"/>
          <w:szCs w:val="36"/>
          <w:lang w:val="zh-CN"/>
        </w:rPr>
      </w:pPr>
      <w:r>
        <w:rPr>
          <w:rFonts w:hint="eastAsia" w:ascii="仿宋_GB2312" w:eastAsia="仿宋_GB2312"/>
          <w:b/>
          <w:bCs/>
          <w:sz w:val="36"/>
          <w:szCs w:val="36"/>
          <w:lang w:val="zh-CN"/>
        </w:rPr>
        <w:br w:type="page"/>
      </w:r>
      <w:r>
        <w:rPr>
          <w:rFonts w:hint="eastAsia" w:ascii="仿宋_GB2312" w:eastAsia="仿宋_GB2312"/>
          <w:b/>
          <w:bCs/>
          <w:sz w:val="36"/>
          <w:szCs w:val="36"/>
          <w:lang w:val="zh-CN"/>
        </w:rPr>
        <w:t xml:space="preserve"> </w:t>
      </w:r>
      <w:bookmarkStart w:id="0" w:name="OLE_LINK1"/>
      <w:r>
        <w:rPr>
          <w:rFonts w:hint="eastAsia" w:ascii="仿宋_GB2312" w:eastAsia="仿宋_GB2312"/>
          <w:b/>
          <w:bCs/>
          <w:sz w:val="36"/>
          <w:szCs w:val="36"/>
          <w:lang w:val="zh-CN"/>
        </w:rPr>
        <w:t>竞争性磋商公告</w:t>
      </w:r>
    </w:p>
    <w:p w14:paraId="19606371">
      <w:pPr>
        <w:widowControl/>
        <w:shd w:val="clear" w:color="auto" w:fill="FFFFFF"/>
        <w:spacing w:line="360" w:lineRule="auto"/>
        <w:rPr>
          <w:rFonts w:hint="eastAsia" w:ascii="仿宋" w:hAnsi="仿宋" w:eastAsia="仿宋" w:cs="仿宋"/>
          <w:spacing w:val="7"/>
          <w:kern w:val="0"/>
          <w:sz w:val="28"/>
          <w:szCs w:val="28"/>
        </w:rPr>
      </w:pPr>
    </w:p>
    <w:p w14:paraId="76452FE9">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color w:val="000000"/>
          <w:spacing w:val="7"/>
          <w:kern w:val="0"/>
          <w:sz w:val="28"/>
          <w:szCs w:val="28"/>
        </w:rPr>
        <w:t>海门数字人大系统</w:t>
      </w:r>
      <w:r>
        <w:rPr>
          <w:rFonts w:hint="eastAsia" w:ascii="仿宋" w:hAnsi="仿宋" w:eastAsia="仿宋" w:cs="仿宋"/>
          <w:spacing w:val="7"/>
          <w:kern w:val="0"/>
          <w:sz w:val="28"/>
          <w:szCs w:val="28"/>
        </w:rPr>
        <w:t>网络安全等级保护测评项目的潜在供应商应在南通市海门区政府网站获取采购文件，并于</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z w:val="28"/>
          <w:szCs w:val="28"/>
          <w:lang w:val="en-US" w:eastAsia="zh-CN"/>
        </w:rPr>
        <w:t>18</w:t>
      </w:r>
      <w:r>
        <w:rPr>
          <w:rFonts w:hint="eastAsia" w:ascii="仿宋" w:hAnsi="仿宋" w:eastAsia="仿宋" w:cs="仿宋"/>
          <w:color w:val="000000"/>
          <w:spacing w:val="7"/>
          <w:kern w:val="0"/>
          <w:sz w:val="28"/>
          <w:szCs w:val="28"/>
        </w:rPr>
        <w:t>日</w:t>
      </w:r>
      <w:r>
        <w:rPr>
          <w:rFonts w:hint="eastAsia" w:ascii="仿宋" w:hAnsi="仿宋" w:eastAsia="仿宋" w:cs="仿宋"/>
          <w:color w:val="FF0000"/>
          <w:spacing w:val="7"/>
          <w:kern w:val="0"/>
          <w:sz w:val="28"/>
          <w:szCs w:val="28"/>
          <w:lang w:val="en-US" w:eastAsia="zh-CN"/>
        </w:rPr>
        <w:t>14</w:t>
      </w:r>
      <w:r>
        <w:rPr>
          <w:rFonts w:hint="eastAsia" w:ascii="仿宋" w:hAnsi="仿宋" w:eastAsia="仿宋" w:cs="仿宋"/>
          <w:color w:val="000000"/>
          <w:spacing w:val="7"/>
          <w:kern w:val="0"/>
          <w:sz w:val="28"/>
          <w:szCs w:val="28"/>
        </w:rPr>
        <w:t>点</w:t>
      </w:r>
      <w:r>
        <w:rPr>
          <w:rFonts w:hint="eastAsia" w:ascii="仿宋" w:hAnsi="仿宋" w:eastAsia="仿宋" w:cs="仿宋"/>
          <w:color w:val="FF0000"/>
          <w:spacing w:val="7"/>
          <w:kern w:val="0"/>
          <w:sz w:val="28"/>
          <w:szCs w:val="28"/>
          <w:lang w:val="en-US" w:eastAsia="zh-CN"/>
        </w:rPr>
        <w:t>3</w:t>
      </w:r>
      <w:r>
        <w:rPr>
          <w:rFonts w:hint="eastAsia" w:ascii="仿宋" w:hAnsi="仿宋" w:eastAsia="仿宋" w:cs="仿宋"/>
          <w:color w:val="FF0000"/>
          <w:spacing w:val="7"/>
          <w:kern w:val="0"/>
          <w:sz w:val="28"/>
          <w:szCs w:val="28"/>
        </w:rPr>
        <w:t>0</w:t>
      </w:r>
      <w:r>
        <w:rPr>
          <w:rFonts w:hint="eastAsia" w:ascii="仿宋" w:hAnsi="仿宋" w:eastAsia="仿宋" w:cs="仿宋"/>
          <w:color w:val="000000"/>
          <w:spacing w:val="7"/>
          <w:kern w:val="0"/>
          <w:sz w:val="28"/>
          <w:szCs w:val="28"/>
        </w:rPr>
        <w:t>分</w:t>
      </w:r>
      <w:r>
        <w:rPr>
          <w:rFonts w:hint="eastAsia" w:ascii="仿宋" w:hAnsi="仿宋" w:eastAsia="仿宋" w:cs="仿宋"/>
          <w:spacing w:val="7"/>
          <w:kern w:val="0"/>
          <w:sz w:val="28"/>
          <w:szCs w:val="28"/>
        </w:rPr>
        <w:t>（北京时间）前提交响应文件。</w:t>
      </w:r>
    </w:p>
    <w:p w14:paraId="00A01A89">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一、项目基本情况</w:t>
      </w:r>
    </w:p>
    <w:p w14:paraId="3B479169">
      <w:pPr>
        <w:widowControl/>
        <w:shd w:val="clear" w:color="auto" w:fill="FFFFFF"/>
        <w:spacing w:line="360" w:lineRule="auto"/>
        <w:ind w:firstLine="588" w:firstLineChars="200"/>
        <w:rPr>
          <w:rFonts w:hint="eastAsia" w:ascii="仿宋" w:hAnsi="仿宋" w:eastAsia="仿宋" w:cs="仿宋"/>
          <w:color w:val="000000"/>
          <w:spacing w:val="7"/>
          <w:kern w:val="0"/>
          <w:sz w:val="28"/>
          <w:szCs w:val="28"/>
          <w:u w:val="single"/>
          <w:lang w:eastAsia="zh-CN"/>
        </w:rPr>
      </w:pPr>
      <w:r>
        <w:rPr>
          <w:rFonts w:hint="eastAsia" w:ascii="仿宋" w:hAnsi="仿宋" w:eastAsia="仿宋" w:cs="仿宋"/>
          <w:spacing w:val="7"/>
          <w:kern w:val="0"/>
          <w:sz w:val="28"/>
          <w:szCs w:val="28"/>
        </w:rPr>
        <w:t>项目名称：</w:t>
      </w:r>
      <w:r>
        <w:rPr>
          <w:rFonts w:hint="eastAsia" w:ascii="仿宋" w:hAnsi="仿宋" w:eastAsia="仿宋" w:cs="仿宋"/>
          <w:color w:val="FF0000"/>
          <w:spacing w:val="7"/>
          <w:kern w:val="0"/>
          <w:sz w:val="28"/>
          <w:szCs w:val="28"/>
          <w:u w:val="none"/>
        </w:rPr>
        <w:t>海门数字人大系统网络安全等级保护测评项目</w:t>
      </w:r>
      <w:r>
        <w:rPr>
          <w:rFonts w:hint="eastAsia" w:ascii="仿宋" w:hAnsi="仿宋" w:eastAsia="仿宋" w:cs="仿宋"/>
          <w:color w:val="FF0000"/>
          <w:spacing w:val="7"/>
          <w:kern w:val="0"/>
          <w:sz w:val="28"/>
          <w:szCs w:val="28"/>
          <w:u w:val="none"/>
          <w:lang w:eastAsia="zh-CN"/>
        </w:rPr>
        <w:t>（</w:t>
      </w:r>
      <w:r>
        <w:rPr>
          <w:rFonts w:hint="eastAsia" w:ascii="仿宋" w:hAnsi="仿宋" w:eastAsia="仿宋" w:cs="仿宋"/>
          <w:color w:val="FF0000"/>
          <w:spacing w:val="7"/>
          <w:kern w:val="0"/>
          <w:sz w:val="28"/>
          <w:szCs w:val="28"/>
          <w:u w:val="none"/>
          <w:lang w:val="en-US" w:eastAsia="zh-CN"/>
        </w:rPr>
        <w:t>二次</w:t>
      </w:r>
      <w:r>
        <w:rPr>
          <w:rFonts w:hint="eastAsia" w:ascii="仿宋" w:hAnsi="仿宋" w:eastAsia="仿宋" w:cs="仿宋"/>
          <w:color w:val="FF0000"/>
          <w:spacing w:val="7"/>
          <w:kern w:val="0"/>
          <w:sz w:val="28"/>
          <w:szCs w:val="28"/>
          <w:u w:val="none"/>
          <w:lang w:eastAsia="zh-CN"/>
        </w:rPr>
        <w:t>）</w:t>
      </w:r>
    </w:p>
    <w:p w14:paraId="4B9579E8">
      <w:pPr>
        <w:widowControl/>
        <w:shd w:val="clear" w:color="auto" w:fill="FFFFFF"/>
        <w:spacing w:line="360" w:lineRule="auto"/>
        <w:ind w:firstLine="588" w:firstLineChars="200"/>
        <w:rPr>
          <w:rFonts w:hint="eastAsia" w:ascii="仿宋" w:hAnsi="仿宋" w:eastAsia="仿宋" w:cs="仿宋"/>
          <w:spacing w:val="7"/>
          <w:kern w:val="0"/>
          <w:sz w:val="28"/>
          <w:szCs w:val="28"/>
          <w:lang w:val="en-US" w:eastAsia="zh-CN"/>
        </w:rPr>
      </w:pPr>
      <w:r>
        <w:rPr>
          <w:rFonts w:hint="eastAsia" w:ascii="仿宋" w:hAnsi="仿宋" w:eastAsia="仿宋" w:cs="仿宋"/>
          <w:spacing w:val="7"/>
          <w:kern w:val="0"/>
          <w:sz w:val="28"/>
          <w:szCs w:val="28"/>
          <w:lang w:val="en-US" w:eastAsia="zh-CN"/>
        </w:rPr>
        <w:t>采购方式：竞争性磋商</w:t>
      </w:r>
    </w:p>
    <w:p w14:paraId="762FA036">
      <w:pPr>
        <w:pStyle w:val="2"/>
        <w:ind w:left="0" w:leftChars="0" w:firstLine="0" w:firstLineChars="0"/>
        <w:rPr>
          <w:rFonts w:hint="default"/>
          <w:lang w:val="en-US" w:eastAsia="zh-CN"/>
        </w:rPr>
      </w:pPr>
      <w:r>
        <w:rPr>
          <w:rFonts w:hint="eastAsia" w:ascii="仿宋" w:hAnsi="仿宋" w:eastAsia="仿宋" w:cs="仿宋"/>
          <w:spacing w:val="7"/>
          <w:kern w:val="0"/>
          <w:sz w:val="28"/>
          <w:szCs w:val="28"/>
          <w:lang w:val="en-US" w:eastAsia="zh-CN"/>
        </w:rPr>
        <w:t xml:space="preserve">    项目类型：服务</w:t>
      </w:r>
    </w:p>
    <w:p w14:paraId="70E19EDF">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预算金额：</w:t>
      </w:r>
      <w:r>
        <w:rPr>
          <w:rFonts w:hint="eastAsia" w:ascii="仿宋" w:hAnsi="仿宋" w:eastAsia="仿宋" w:cs="仿宋"/>
          <w:color w:val="FF0000"/>
          <w:spacing w:val="7"/>
          <w:kern w:val="0"/>
          <w:sz w:val="28"/>
          <w:szCs w:val="28"/>
        </w:rPr>
        <w:t>5</w:t>
      </w:r>
      <w:r>
        <w:rPr>
          <w:rFonts w:hint="eastAsia" w:ascii="仿宋" w:hAnsi="仿宋" w:eastAsia="仿宋" w:cs="仿宋"/>
          <w:spacing w:val="7"/>
          <w:kern w:val="0"/>
          <w:sz w:val="28"/>
          <w:szCs w:val="28"/>
        </w:rPr>
        <w:t>万元，最高限价：</w:t>
      </w:r>
      <w:r>
        <w:rPr>
          <w:rFonts w:hint="eastAsia" w:ascii="仿宋" w:hAnsi="仿宋" w:eastAsia="仿宋" w:cs="仿宋"/>
          <w:color w:val="FF0000"/>
          <w:spacing w:val="7"/>
          <w:kern w:val="0"/>
          <w:sz w:val="28"/>
          <w:szCs w:val="28"/>
        </w:rPr>
        <w:t>5</w:t>
      </w:r>
      <w:r>
        <w:rPr>
          <w:rFonts w:hint="eastAsia" w:ascii="仿宋" w:hAnsi="仿宋" w:eastAsia="仿宋" w:cs="仿宋"/>
          <w:spacing w:val="7"/>
          <w:kern w:val="0"/>
          <w:sz w:val="28"/>
          <w:szCs w:val="28"/>
        </w:rPr>
        <w:t>万元。最终报价超过最高限价的为无效响应文件。</w:t>
      </w:r>
    </w:p>
    <w:p w14:paraId="3075CB0C">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采购需求：详见附件，请仔细研究。</w:t>
      </w:r>
    </w:p>
    <w:p w14:paraId="6463250B">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合同履行期限：详见项目需求。</w:t>
      </w:r>
    </w:p>
    <w:p w14:paraId="4ACA31AD">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本项目不接受联合体。</w:t>
      </w:r>
    </w:p>
    <w:p w14:paraId="61AB0A52">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二、申请人的资格要求</w:t>
      </w:r>
    </w:p>
    <w:p w14:paraId="7EE870E0">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（一）满足《中华人民共和国政府采购法》第二十二条规定：</w:t>
      </w:r>
    </w:p>
    <w:p w14:paraId="38729953">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1.法人或者其他组织的营业执照等证明文件，自然人的身份证明；</w:t>
      </w:r>
    </w:p>
    <w:p w14:paraId="332F9383">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2.上一年度的财务状况报告（成立不满一年不需提供）；</w:t>
      </w:r>
    </w:p>
    <w:p w14:paraId="0079CA0E">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3.依法缴纳税收和社会保障资金的相关材料；</w:t>
      </w:r>
    </w:p>
    <w:p w14:paraId="3BF44812">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4.具备履行合同所必需的设备和专业技术能力的证明材料（格式见招标文件附件）；</w:t>
      </w:r>
    </w:p>
    <w:p w14:paraId="69D25E1F">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5.参加政府采购活动前3年内在经营活动中没有重大违法记录的书面声明（格式见招标文件附件）。</w:t>
      </w:r>
    </w:p>
    <w:p w14:paraId="617C31B1">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（二）未被“信用中国”网站（www.creditchina.gov.cn）列入失信被执行人、重大税收违法案件当事人名单、政府采购严重失信行为记录名单。</w:t>
      </w:r>
    </w:p>
    <w:p w14:paraId="7FFEE0C0">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（三）本项目的特定资格要求：</w:t>
      </w:r>
    </w:p>
    <w:p w14:paraId="2D96B83F">
      <w:pPr>
        <w:widowControl/>
        <w:shd w:val="clear" w:color="auto" w:fill="FFFFFF"/>
        <w:spacing w:line="360" w:lineRule="auto"/>
        <w:ind w:firstLine="560" w:firstLineChars="200"/>
        <w:rPr>
          <w:rFonts w:hint="eastAsia" w:ascii="仿宋" w:hAnsi="仿宋" w:eastAsia="仿宋"/>
          <w:sz w:val="28"/>
          <w:szCs w:val="28"/>
        </w:rPr>
      </w:pPr>
      <w:r>
        <w:rPr>
          <w:rFonts w:hint="eastAsia" w:ascii="仿宋" w:hAnsi="仿宋" w:eastAsia="仿宋"/>
          <w:sz w:val="28"/>
          <w:szCs w:val="28"/>
        </w:rPr>
        <w:t>需具有有效期内的《网络安全等级测评与检测评估机构服务认证证书》，提供证书复印件（加盖公章）。</w:t>
      </w:r>
    </w:p>
    <w:p w14:paraId="3169A48F">
      <w:pPr>
        <w:widowControl/>
        <w:shd w:val="clear" w:color="auto" w:fill="FFFFFF"/>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（四）落实政府采购政策需满足的资格要求：无</w:t>
      </w:r>
    </w:p>
    <w:p w14:paraId="11519C37">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三、获取采购文件</w:t>
      </w:r>
    </w:p>
    <w:p w14:paraId="1C39E8A2">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时间：</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pacing w:val="7"/>
          <w:kern w:val="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pacing w:val="7"/>
          <w:kern w:val="0"/>
          <w:sz w:val="28"/>
          <w:szCs w:val="28"/>
          <w:lang w:val="en-US" w:eastAsia="zh-CN"/>
        </w:rPr>
        <w:t>11</w:t>
      </w:r>
      <w:r>
        <w:rPr>
          <w:rFonts w:hint="eastAsia" w:ascii="仿宋" w:hAnsi="仿宋" w:eastAsia="仿宋" w:cs="仿宋"/>
          <w:color w:val="000000"/>
          <w:spacing w:val="7"/>
          <w:kern w:val="0"/>
          <w:sz w:val="28"/>
          <w:szCs w:val="28"/>
        </w:rPr>
        <w:t>日至</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pacing w:val="7"/>
          <w:kern w:val="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pacing w:val="7"/>
          <w:kern w:val="0"/>
          <w:sz w:val="28"/>
          <w:szCs w:val="28"/>
          <w:lang w:val="en-US" w:eastAsia="zh-CN"/>
        </w:rPr>
        <w:t>18</w:t>
      </w:r>
      <w:r>
        <w:rPr>
          <w:rFonts w:hint="eastAsia" w:ascii="仿宋" w:hAnsi="仿宋" w:eastAsia="仿宋" w:cs="仿宋"/>
          <w:color w:val="000000"/>
          <w:spacing w:val="7"/>
          <w:kern w:val="0"/>
          <w:sz w:val="28"/>
          <w:szCs w:val="28"/>
        </w:rPr>
        <w:t>日</w:t>
      </w:r>
    </w:p>
    <w:p w14:paraId="7D66BFCD">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地点：南通市海门区政府网站“政府采购”栏目</w:t>
      </w:r>
    </w:p>
    <w:p w14:paraId="49BA763C">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方式：自行下载</w:t>
      </w:r>
    </w:p>
    <w:p w14:paraId="6FC53040">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售价：免费</w:t>
      </w:r>
    </w:p>
    <w:p w14:paraId="0C241B1B">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四、响应文件提交</w:t>
      </w:r>
      <w:bookmarkStart w:id="3" w:name="_GoBack"/>
      <w:bookmarkEnd w:id="3"/>
    </w:p>
    <w:p w14:paraId="49C44176">
      <w:pPr>
        <w:widowControl/>
        <w:shd w:val="clear" w:color="auto" w:fill="FFFFFF"/>
        <w:spacing w:line="360" w:lineRule="auto"/>
        <w:ind w:firstLine="588" w:firstLineChars="200"/>
        <w:rPr>
          <w:rFonts w:hint="eastAsia" w:ascii="仿宋" w:hAnsi="仿宋" w:eastAsia="仿宋" w:cs="仿宋"/>
          <w:i/>
          <w:spacing w:val="7"/>
          <w:kern w:val="0"/>
          <w:sz w:val="28"/>
          <w:szCs w:val="28"/>
          <w:u w:val="single"/>
        </w:rPr>
      </w:pPr>
      <w:r>
        <w:rPr>
          <w:rFonts w:hint="eastAsia" w:ascii="仿宋" w:hAnsi="仿宋" w:eastAsia="仿宋" w:cs="仿宋"/>
          <w:spacing w:val="7"/>
          <w:kern w:val="0"/>
          <w:sz w:val="28"/>
          <w:szCs w:val="28"/>
        </w:rPr>
        <w:t>截止时间：</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pacing w:val="7"/>
          <w:kern w:val="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pacing w:val="7"/>
          <w:kern w:val="0"/>
          <w:sz w:val="28"/>
          <w:szCs w:val="28"/>
          <w:lang w:val="en-US" w:eastAsia="zh-CN"/>
        </w:rPr>
        <w:t>18</w:t>
      </w:r>
      <w:r>
        <w:rPr>
          <w:rFonts w:hint="eastAsia" w:ascii="仿宋" w:hAnsi="仿宋" w:eastAsia="仿宋" w:cs="仿宋"/>
          <w:color w:val="000000"/>
          <w:spacing w:val="7"/>
          <w:kern w:val="0"/>
          <w:sz w:val="28"/>
          <w:szCs w:val="28"/>
        </w:rPr>
        <w:t>日</w:t>
      </w:r>
      <w:r>
        <w:rPr>
          <w:rFonts w:hint="eastAsia" w:ascii="仿宋" w:hAnsi="仿宋" w:eastAsia="仿宋" w:cs="仿宋"/>
          <w:color w:val="FF0000"/>
          <w:spacing w:val="7"/>
          <w:kern w:val="0"/>
          <w:sz w:val="28"/>
          <w:szCs w:val="28"/>
          <w:lang w:val="en-US" w:eastAsia="zh-CN"/>
        </w:rPr>
        <w:t>14</w:t>
      </w:r>
      <w:r>
        <w:rPr>
          <w:rFonts w:hint="eastAsia" w:ascii="仿宋" w:hAnsi="仿宋" w:eastAsia="仿宋" w:cs="仿宋"/>
          <w:color w:val="000000"/>
          <w:spacing w:val="7"/>
          <w:kern w:val="0"/>
          <w:sz w:val="28"/>
          <w:szCs w:val="28"/>
        </w:rPr>
        <w:t>点</w:t>
      </w:r>
      <w:r>
        <w:rPr>
          <w:rFonts w:hint="eastAsia" w:ascii="仿宋" w:hAnsi="仿宋" w:eastAsia="仿宋" w:cs="仿宋"/>
          <w:color w:val="FF0000"/>
          <w:spacing w:val="7"/>
          <w:kern w:val="0"/>
          <w:sz w:val="28"/>
          <w:szCs w:val="28"/>
          <w:lang w:val="en-US" w:eastAsia="zh-CN"/>
        </w:rPr>
        <w:t>3</w:t>
      </w:r>
      <w:r>
        <w:rPr>
          <w:rFonts w:hint="eastAsia" w:ascii="仿宋" w:hAnsi="仿宋" w:eastAsia="仿宋" w:cs="仿宋"/>
          <w:color w:val="FF0000"/>
          <w:spacing w:val="7"/>
          <w:kern w:val="0"/>
          <w:sz w:val="28"/>
          <w:szCs w:val="28"/>
        </w:rPr>
        <w:t>0</w:t>
      </w:r>
      <w:r>
        <w:rPr>
          <w:rFonts w:hint="eastAsia" w:ascii="仿宋" w:hAnsi="仿宋" w:eastAsia="仿宋" w:cs="仿宋"/>
          <w:color w:val="000000"/>
          <w:spacing w:val="7"/>
          <w:kern w:val="0"/>
          <w:sz w:val="28"/>
          <w:szCs w:val="28"/>
        </w:rPr>
        <w:t>分</w:t>
      </w:r>
      <w:r>
        <w:rPr>
          <w:rFonts w:hint="eastAsia" w:ascii="仿宋" w:hAnsi="仿宋" w:eastAsia="仿宋" w:cs="仿宋"/>
          <w:spacing w:val="7"/>
          <w:kern w:val="0"/>
          <w:sz w:val="28"/>
          <w:szCs w:val="28"/>
        </w:rPr>
        <w:t>（北京时间）</w:t>
      </w:r>
    </w:p>
    <w:p w14:paraId="1F481A27">
      <w:pPr>
        <w:snapToGrid w:val="0"/>
        <w:spacing w:line="360" w:lineRule="auto"/>
        <w:ind w:firstLine="588" w:firstLineChars="200"/>
        <w:contextualSpacing/>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地点：</w:t>
      </w:r>
      <w:r>
        <w:rPr>
          <w:rFonts w:hint="eastAsia" w:ascii="仿宋" w:hAnsi="仿宋" w:eastAsia="仿宋" w:cs="仿宋"/>
          <w:color w:val="FF0000"/>
          <w:spacing w:val="7"/>
          <w:kern w:val="0"/>
          <w:sz w:val="28"/>
          <w:szCs w:val="28"/>
        </w:rPr>
        <w:t>南通市海门区北京中路600号行政中心9楼西北角会议室</w:t>
      </w:r>
    </w:p>
    <w:p w14:paraId="679296F7">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五、开启</w:t>
      </w:r>
    </w:p>
    <w:p w14:paraId="1BC51B26">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时间：</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pacing w:val="7"/>
          <w:kern w:val="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pacing w:val="7"/>
          <w:kern w:val="0"/>
          <w:sz w:val="28"/>
          <w:szCs w:val="28"/>
          <w:lang w:val="en-US" w:eastAsia="zh-CN"/>
        </w:rPr>
        <w:t>18</w:t>
      </w:r>
      <w:r>
        <w:rPr>
          <w:rFonts w:hint="eastAsia" w:ascii="仿宋" w:hAnsi="仿宋" w:eastAsia="仿宋" w:cs="仿宋"/>
          <w:color w:val="000000"/>
          <w:spacing w:val="7"/>
          <w:kern w:val="0"/>
          <w:sz w:val="28"/>
          <w:szCs w:val="28"/>
        </w:rPr>
        <w:t>日</w:t>
      </w:r>
      <w:r>
        <w:rPr>
          <w:rFonts w:hint="eastAsia" w:ascii="仿宋" w:hAnsi="仿宋" w:eastAsia="仿宋" w:cs="仿宋"/>
          <w:color w:val="FF0000"/>
          <w:spacing w:val="7"/>
          <w:kern w:val="0"/>
          <w:sz w:val="28"/>
          <w:szCs w:val="28"/>
          <w:lang w:val="en-US" w:eastAsia="zh-CN"/>
        </w:rPr>
        <w:t>14</w:t>
      </w:r>
      <w:r>
        <w:rPr>
          <w:rFonts w:hint="eastAsia" w:ascii="仿宋" w:hAnsi="仿宋" w:eastAsia="仿宋" w:cs="仿宋"/>
          <w:color w:val="000000"/>
          <w:spacing w:val="7"/>
          <w:kern w:val="0"/>
          <w:sz w:val="28"/>
          <w:szCs w:val="28"/>
        </w:rPr>
        <w:t>点</w:t>
      </w:r>
      <w:r>
        <w:rPr>
          <w:rFonts w:hint="eastAsia" w:ascii="仿宋" w:hAnsi="仿宋" w:eastAsia="仿宋" w:cs="仿宋"/>
          <w:color w:val="FF0000"/>
          <w:spacing w:val="7"/>
          <w:kern w:val="0"/>
          <w:sz w:val="28"/>
          <w:szCs w:val="28"/>
          <w:lang w:val="en-US" w:eastAsia="zh-CN"/>
        </w:rPr>
        <w:t>3</w:t>
      </w:r>
      <w:r>
        <w:rPr>
          <w:rFonts w:hint="eastAsia" w:ascii="仿宋" w:hAnsi="仿宋" w:eastAsia="仿宋" w:cs="仿宋"/>
          <w:color w:val="FF0000"/>
          <w:spacing w:val="7"/>
          <w:kern w:val="0"/>
          <w:sz w:val="28"/>
          <w:szCs w:val="28"/>
        </w:rPr>
        <w:t>0</w:t>
      </w:r>
      <w:r>
        <w:rPr>
          <w:rFonts w:hint="eastAsia" w:ascii="仿宋" w:hAnsi="仿宋" w:eastAsia="仿宋" w:cs="仿宋"/>
          <w:color w:val="000000"/>
          <w:spacing w:val="7"/>
          <w:kern w:val="0"/>
          <w:sz w:val="28"/>
          <w:szCs w:val="28"/>
        </w:rPr>
        <w:t>分</w:t>
      </w:r>
      <w:r>
        <w:rPr>
          <w:rFonts w:hint="eastAsia" w:ascii="仿宋" w:hAnsi="仿宋" w:eastAsia="仿宋" w:cs="仿宋"/>
          <w:spacing w:val="7"/>
          <w:kern w:val="0"/>
          <w:sz w:val="28"/>
          <w:szCs w:val="28"/>
        </w:rPr>
        <w:t>（北京时间）</w:t>
      </w:r>
    </w:p>
    <w:p w14:paraId="04203791">
      <w:pPr>
        <w:snapToGrid w:val="0"/>
        <w:spacing w:line="360" w:lineRule="auto"/>
        <w:ind w:firstLine="588" w:firstLineChars="200"/>
        <w:contextualSpacing/>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地点：</w:t>
      </w:r>
      <w:r>
        <w:rPr>
          <w:rFonts w:hint="eastAsia" w:ascii="仿宋" w:hAnsi="仿宋" w:eastAsia="仿宋" w:cs="仿宋"/>
          <w:color w:val="FF0000"/>
          <w:spacing w:val="7"/>
          <w:kern w:val="0"/>
          <w:sz w:val="28"/>
          <w:szCs w:val="28"/>
        </w:rPr>
        <w:t>南通市海门区北京中路600号行政中心9楼西北角会议室</w:t>
      </w:r>
    </w:p>
    <w:p w14:paraId="0A69EA6F">
      <w:pPr>
        <w:snapToGrid w:val="0"/>
        <w:spacing w:line="360" w:lineRule="auto"/>
        <w:ind w:firstLine="590" w:firstLineChars="200"/>
        <w:contextualSpacing/>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六、公告期限</w:t>
      </w:r>
    </w:p>
    <w:p w14:paraId="1C4CAECA">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自本公告发布之日起</w:t>
      </w:r>
      <w:r>
        <w:rPr>
          <w:rFonts w:hint="eastAsia" w:ascii="仿宋" w:hAnsi="仿宋" w:eastAsia="仿宋" w:cs="仿宋"/>
          <w:color w:val="000000" w:themeColor="text1"/>
          <w:spacing w:val="7"/>
          <w:kern w:val="0"/>
          <w:sz w:val="28"/>
          <w:szCs w:val="28"/>
          <w14:textFill>
            <w14:solidFill>
              <w14:schemeClr w14:val="tx1"/>
            </w14:solidFill>
          </w14:textFill>
        </w:rPr>
        <w:t>3</w:t>
      </w:r>
      <w:r>
        <w:rPr>
          <w:rFonts w:hint="eastAsia" w:ascii="仿宋" w:hAnsi="仿宋" w:eastAsia="仿宋" w:cs="仿宋"/>
          <w:spacing w:val="7"/>
          <w:kern w:val="0"/>
          <w:sz w:val="28"/>
          <w:szCs w:val="28"/>
        </w:rPr>
        <w:t>个工作日。</w:t>
      </w:r>
    </w:p>
    <w:p w14:paraId="5DA66DA0">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七、其他补充事宜</w:t>
      </w:r>
    </w:p>
    <w:p w14:paraId="66AA12E5">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1.保证金：免收。</w:t>
      </w:r>
    </w:p>
    <w:p w14:paraId="26100965">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2.对项目磋商文件的询问、质疑请向采购单位提出。</w:t>
      </w:r>
    </w:p>
    <w:p w14:paraId="0B938B9B">
      <w:pPr>
        <w:widowControl/>
        <w:shd w:val="clear" w:color="auto" w:fill="FFFFFF"/>
        <w:spacing w:line="360" w:lineRule="auto"/>
        <w:ind w:firstLine="590" w:firstLineChars="200"/>
        <w:rPr>
          <w:rFonts w:hint="eastAsia" w:ascii="仿宋" w:hAnsi="仿宋" w:eastAsia="仿宋" w:cs="仿宋"/>
          <w:b/>
          <w:spacing w:val="7"/>
          <w:kern w:val="0"/>
          <w:sz w:val="28"/>
          <w:szCs w:val="28"/>
        </w:rPr>
      </w:pPr>
      <w:r>
        <w:rPr>
          <w:rFonts w:hint="eastAsia" w:ascii="仿宋" w:hAnsi="仿宋" w:eastAsia="仿宋" w:cs="仿宋"/>
          <w:b/>
          <w:spacing w:val="7"/>
          <w:kern w:val="0"/>
          <w:sz w:val="28"/>
          <w:szCs w:val="28"/>
        </w:rPr>
        <w:t>八、凡对本次采购提出询问，请按以下方式联系</w:t>
      </w:r>
    </w:p>
    <w:p w14:paraId="10B35CF5">
      <w:pPr>
        <w:widowControl/>
        <w:shd w:val="clear" w:color="auto" w:fill="FFFFFF"/>
        <w:spacing w:line="360" w:lineRule="auto"/>
        <w:ind w:firstLine="588" w:firstLineChars="200"/>
        <w:jc w:val="left"/>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单位名称：</w:t>
      </w:r>
      <w:r>
        <w:rPr>
          <w:rFonts w:hint="eastAsia" w:ascii="仿宋" w:hAnsi="仿宋" w:eastAsia="仿宋" w:cs="仿宋"/>
          <w:color w:val="FF0000"/>
          <w:spacing w:val="7"/>
          <w:kern w:val="0"/>
          <w:sz w:val="28"/>
          <w:szCs w:val="28"/>
        </w:rPr>
        <w:t>南通市海门区人民代表大会常务委员会办公室</w:t>
      </w:r>
    </w:p>
    <w:p w14:paraId="220A58AF">
      <w:pPr>
        <w:widowControl/>
        <w:shd w:val="clear" w:color="auto" w:fill="FFFFFF"/>
        <w:adjustRightInd w:val="0"/>
        <w:snapToGrid w:val="0"/>
        <w:spacing w:line="360" w:lineRule="auto"/>
        <w:ind w:firstLine="588" w:firstLineChars="200"/>
        <w:jc w:val="left"/>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联系方式：</w:t>
      </w:r>
      <w:r>
        <w:rPr>
          <w:rFonts w:hint="eastAsia" w:ascii="仿宋" w:hAnsi="仿宋" w:eastAsia="仿宋" w:cs="仿宋"/>
          <w:color w:val="FF0000"/>
          <w:spacing w:val="7"/>
          <w:kern w:val="0"/>
          <w:sz w:val="28"/>
          <w:szCs w:val="28"/>
        </w:rPr>
        <w:t>沈先生，0513-82212604</w:t>
      </w:r>
    </w:p>
    <w:p w14:paraId="1C251EAE">
      <w:pPr>
        <w:widowControl/>
        <w:shd w:val="clear" w:color="auto" w:fill="FFFFFF"/>
        <w:adjustRightInd w:val="0"/>
        <w:snapToGrid w:val="0"/>
        <w:spacing w:line="360" w:lineRule="auto"/>
        <w:ind w:firstLine="588" w:firstLineChars="200"/>
        <w:jc w:val="left"/>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联系地址：</w:t>
      </w:r>
      <w:r>
        <w:rPr>
          <w:rFonts w:hint="eastAsia" w:ascii="仿宋" w:hAnsi="仿宋" w:eastAsia="仿宋" w:cs="仿宋"/>
          <w:color w:val="FF0000"/>
          <w:spacing w:val="7"/>
          <w:kern w:val="0"/>
          <w:sz w:val="28"/>
          <w:szCs w:val="28"/>
        </w:rPr>
        <w:t>南通市海门区北京中路600号</w:t>
      </w:r>
    </w:p>
    <w:p w14:paraId="63455CFA">
      <w:pPr>
        <w:snapToGrid w:val="0"/>
        <w:spacing w:line="360" w:lineRule="auto"/>
        <w:contextualSpacing/>
        <w:jc w:val="center"/>
        <w:rPr>
          <w:rFonts w:ascii="仿宋_GB2312" w:eastAsia="仿宋_GB2312"/>
          <w:b/>
          <w:bCs/>
          <w:sz w:val="36"/>
          <w:szCs w:val="36"/>
          <w:lang w:val="zh-CN"/>
        </w:rPr>
      </w:pPr>
      <w:r>
        <w:rPr>
          <w:rFonts w:hint="eastAsia" w:ascii="仿宋" w:hAnsi="仿宋" w:eastAsia="仿宋" w:cs="仿宋"/>
          <w:spacing w:val="7"/>
          <w:kern w:val="0"/>
          <w:sz w:val="28"/>
          <w:szCs w:val="28"/>
        </w:rPr>
        <w:br w:type="page"/>
      </w:r>
      <w:bookmarkEnd w:id="0"/>
      <w:r>
        <w:rPr>
          <w:rFonts w:hint="eastAsia" w:ascii="仿宋_GB2312" w:eastAsia="仿宋_GB2312"/>
          <w:b/>
          <w:bCs/>
          <w:sz w:val="36"/>
          <w:szCs w:val="36"/>
          <w:lang w:val="zh-CN"/>
        </w:rPr>
        <w:t>第二部分 磋商须知</w:t>
      </w:r>
    </w:p>
    <w:p w14:paraId="572DF677">
      <w:pPr>
        <w:snapToGrid w:val="0"/>
        <w:spacing w:line="360" w:lineRule="auto"/>
        <w:contextualSpacing/>
        <w:jc w:val="center"/>
        <w:rPr>
          <w:rFonts w:ascii="仿宋_GB2312" w:eastAsia="仿宋_GB2312"/>
          <w:b/>
          <w:bCs/>
          <w:sz w:val="36"/>
          <w:szCs w:val="36"/>
          <w:lang w:val="zh-CN"/>
        </w:rPr>
      </w:pPr>
    </w:p>
    <w:p w14:paraId="04689043">
      <w:pPr>
        <w:snapToGrid w:val="0"/>
        <w:spacing w:line="360" w:lineRule="auto"/>
        <w:ind w:firstLine="562" w:firstLineChars="200"/>
        <w:contextualSpacing/>
        <w:outlineLvl w:val="0"/>
        <w:rPr>
          <w:rFonts w:hint="eastAsia" w:ascii="仿宋" w:hAnsi="仿宋" w:eastAsia="仿宋" w:cs="仿宋"/>
          <w:b/>
          <w:sz w:val="28"/>
          <w:szCs w:val="28"/>
        </w:rPr>
      </w:pPr>
      <w:r>
        <w:rPr>
          <w:rFonts w:hint="eastAsia" w:ascii="仿宋" w:hAnsi="仿宋" w:eastAsia="仿宋" w:cs="仿宋"/>
          <w:b/>
          <w:sz w:val="28"/>
          <w:szCs w:val="28"/>
        </w:rPr>
        <w:t>一、本磋商文件由采购单位解释。</w:t>
      </w:r>
    </w:p>
    <w:p w14:paraId="2C566716">
      <w:pPr>
        <w:snapToGrid w:val="0"/>
        <w:spacing w:line="360" w:lineRule="auto"/>
        <w:ind w:firstLine="560" w:firstLineChars="200"/>
        <w:contextualSpacing/>
        <w:rPr>
          <w:rFonts w:hint="eastAsia" w:ascii="仿宋" w:hAnsi="仿宋" w:eastAsia="仿宋" w:cs="仿宋"/>
          <w:b/>
          <w:sz w:val="28"/>
          <w:szCs w:val="28"/>
        </w:rPr>
      </w:pPr>
      <w:r>
        <w:rPr>
          <w:rFonts w:hint="eastAsia" w:ascii="仿宋" w:hAnsi="仿宋" w:eastAsia="仿宋" w:cs="仿宋"/>
          <w:sz w:val="28"/>
          <w:szCs w:val="28"/>
        </w:rPr>
        <w:t>1.供应商在网上下载磋商文件后，应仔细检查磋商文件的所有内容，如对政府采购活动事项有疑问的，应向采购单位以书面形式提出，否则视同供应商理解并接受本磋商文件所有内容，并由此引起的损失自负。供应商不得在磋商结束后针对磋商文件所有内容提出质疑事项。</w:t>
      </w:r>
    </w:p>
    <w:p w14:paraId="3C7B2B48">
      <w:pPr>
        <w:snapToGrid w:val="0"/>
        <w:spacing w:line="360" w:lineRule="auto"/>
        <w:ind w:firstLine="560" w:firstLineChars="200"/>
        <w:contextualSpacing/>
        <w:rPr>
          <w:rFonts w:hint="eastAsia" w:ascii="仿宋" w:hAnsi="仿宋" w:eastAsia="仿宋" w:cs="仿宋"/>
          <w:sz w:val="28"/>
          <w:szCs w:val="28"/>
        </w:rPr>
      </w:pPr>
      <w:r>
        <w:rPr>
          <w:rFonts w:hint="eastAsia" w:ascii="仿宋" w:hAnsi="仿宋" w:eastAsia="仿宋" w:cs="仿宋"/>
          <w:sz w:val="28"/>
          <w:szCs w:val="28"/>
        </w:rPr>
        <w:t>2.供应商应认真审阅磋商文件中所有的事项、格式、条款和规范要求等，如果供应商没有按照磋商文件要求提交响应文件，或者响应文件没有对磋商文件做出实质性响应，将被拒绝参与磋商。</w:t>
      </w:r>
    </w:p>
    <w:p w14:paraId="576076F8">
      <w:pPr>
        <w:snapToGrid w:val="0"/>
        <w:spacing w:line="360" w:lineRule="auto"/>
        <w:ind w:firstLine="562" w:firstLineChars="200"/>
        <w:contextualSpacing/>
        <w:rPr>
          <w:rFonts w:hint="eastAsia" w:ascii="仿宋" w:hAnsi="仿宋" w:eastAsia="仿宋" w:cs="仿宋"/>
          <w:b/>
          <w:sz w:val="28"/>
          <w:szCs w:val="28"/>
        </w:rPr>
      </w:pPr>
      <w:r>
        <w:rPr>
          <w:rFonts w:hint="eastAsia" w:ascii="仿宋" w:hAnsi="仿宋" w:eastAsia="仿宋" w:cs="仿宋"/>
          <w:b/>
          <w:sz w:val="28"/>
          <w:szCs w:val="28"/>
        </w:rPr>
        <w:t>二、磋商文件的澄清、修改、答疑</w:t>
      </w:r>
    </w:p>
    <w:p w14:paraId="56D0ABDC">
      <w:pPr>
        <w:pStyle w:val="9"/>
        <w:snapToGrid w:val="0"/>
        <w:spacing w:line="360" w:lineRule="auto"/>
        <w:ind w:left="0" w:leftChars="0" w:firstLine="560" w:firstLineChars="200"/>
        <w:contextualSpacing/>
        <w:rPr>
          <w:rFonts w:hint="eastAsia" w:ascii="仿宋" w:hAnsi="仿宋" w:eastAsia="仿宋" w:cs="仿宋"/>
          <w:sz w:val="28"/>
          <w:szCs w:val="28"/>
        </w:rPr>
      </w:pPr>
      <w:r>
        <w:rPr>
          <w:rFonts w:hint="eastAsia" w:ascii="仿宋" w:hAnsi="仿宋" w:eastAsia="仿宋" w:cs="仿宋"/>
          <w:sz w:val="28"/>
          <w:szCs w:val="28"/>
        </w:rPr>
        <w:t>采购单位可以对已发出的磋商文件进行必要的澄清或者修改，澄清或者修改的内容作为磋商文件的组成部分。澄清或者修改的内容可能影响响应文件编制的，本单位将在提交首次响应文件截止之日5日前，以网上公告书面形式通知所有接收磋商文件的供应商，不足5日的，应当顺延提交首次响应文件截止之日。</w:t>
      </w:r>
    </w:p>
    <w:p w14:paraId="66288456">
      <w:pPr>
        <w:pStyle w:val="9"/>
        <w:snapToGrid w:val="0"/>
        <w:spacing w:line="360" w:lineRule="auto"/>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rPr>
        <w:t>供应商由于对磋商文件的任何推论和误解以及采购单位对有</w:t>
      </w:r>
      <w:r>
        <w:rPr>
          <w:rFonts w:hint="eastAsia" w:ascii="仿宋" w:hAnsi="仿宋" w:eastAsia="仿宋" w:cs="仿宋"/>
          <w:sz w:val="28"/>
          <w:szCs w:val="28"/>
          <w:lang w:val="zh-CN"/>
        </w:rPr>
        <w:t>关问题的口头解释所造成的后果，均由供应商自负。</w:t>
      </w:r>
    </w:p>
    <w:p w14:paraId="043562D5">
      <w:pPr>
        <w:pStyle w:val="9"/>
        <w:snapToGrid w:val="0"/>
        <w:spacing w:line="360" w:lineRule="auto"/>
        <w:ind w:left="0" w:leftChars="0" w:firstLine="560" w:firstLineChars="200"/>
        <w:contextualSpacing/>
        <w:rPr>
          <w:rFonts w:hint="eastAsia" w:ascii="仿宋" w:hAnsi="仿宋" w:eastAsia="仿宋" w:cs="仿宋"/>
          <w:sz w:val="28"/>
          <w:szCs w:val="28"/>
        </w:rPr>
      </w:pPr>
      <w:r>
        <w:rPr>
          <w:rFonts w:hint="eastAsia" w:ascii="仿宋" w:hAnsi="仿宋" w:eastAsia="仿宋" w:cs="仿宋"/>
          <w:sz w:val="28"/>
          <w:szCs w:val="28"/>
          <w:lang w:val="zh-CN"/>
        </w:rPr>
        <w:t>采购单位可视情组织答疑会。</w:t>
      </w:r>
    </w:p>
    <w:p w14:paraId="1C66B57B">
      <w:pPr>
        <w:snapToGrid w:val="0"/>
        <w:spacing w:line="360" w:lineRule="auto"/>
        <w:ind w:firstLine="555"/>
        <w:contextualSpacing/>
        <w:rPr>
          <w:rFonts w:hint="eastAsia" w:ascii="仿宋" w:hAnsi="仿宋" w:eastAsia="仿宋" w:cs="仿宋"/>
          <w:b/>
          <w:sz w:val="28"/>
          <w:szCs w:val="28"/>
        </w:rPr>
      </w:pPr>
      <w:r>
        <w:rPr>
          <w:rFonts w:hint="eastAsia" w:ascii="仿宋" w:hAnsi="仿宋" w:eastAsia="仿宋" w:cs="仿宋"/>
          <w:b/>
          <w:kern w:val="0"/>
          <w:sz w:val="28"/>
          <w:szCs w:val="28"/>
        </w:rPr>
        <w:t>（二）响应竞争性磋商路径</w:t>
      </w:r>
    </w:p>
    <w:p w14:paraId="25464F90">
      <w:pPr>
        <w:pStyle w:val="16"/>
        <w:shd w:val="clear" w:color="auto" w:fill="FFFFFF"/>
        <w:spacing w:before="0" w:beforeAutospacing="0" w:after="0" w:afterAutospacing="0" w:line="360" w:lineRule="auto"/>
        <w:ind w:firstLine="562" w:firstLineChars="200"/>
        <w:jc w:val="both"/>
        <w:rPr>
          <w:rFonts w:hint="eastAsia" w:ascii="仿宋" w:hAnsi="仿宋" w:eastAsia="仿宋" w:cs="仿宋"/>
          <w:sz w:val="28"/>
          <w:szCs w:val="28"/>
        </w:rPr>
      </w:pPr>
      <w:r>
        <w:rPr>
          <w:rFonts w:hint="eastAsia" w:ascii="仿宋" w:hAnsi="仿宋" w:eastAsia="仿宋" w:cs="仿宋"/>
          <w:b/>
          <w:sz w:val="28"/>
          <w:szCs w:val="28"/>
        </w:rPr>
        <w:t>1.获取竞争性磋商文件：</w:t>
      </w:r>
      <w:r>
        <w:rPr>
          <w:rFonts w:hint="eastAsia" w:ascii="仿宋" w:hAnsi="仿宋" w:eastAsia="仿宋" w:cs="仿宋"/>
          <w:sz w:val="28"/>
          <w:szCs w:val="28"/>
        </w:rPr>
        <w:t>自本公告在南通市政府采购网上发布即可在公告附件中获取。</w:t>
      </w:r>
    </w:p>
    <w:p w14:paraId="329A84D9">
      <w:pPr>
        <w:pStyle w:val="16"/>
        <w:shd w:val="clear" w:color="auto" w:fill="FFFFFF"/>
        <w:spacing w:before="0" w:beforeAutospacing="0" w:after="0" w:afterAutospacing="0" w:line="360" w:lineRule="auto"/>
        <w:ind w:firstLine="560"/>
        <w:jc w:val="both"/>
        <w:rPr>
          <w:rFonts w:hint="eastAsia" w:ascii="仿宋" w:hAnsi="仿宋" w:eastAsia="仿宋" w:cs="仿宋"/>
          <w:sz w:val="28"/>
          <w:szCs w:val="28"/>
        </w:rPr>
      </w:pPr>
      <w:r>
        <w:rPr>
          <w:rFonts w:hint="eastAsia" w:ascii="仿宋" w:hAnsi="仿宋" w:eastAsia="仿宋" w:cs="仿宋"/>
          <w:b/>
          <w:sz w:val="28"/>
          <w:szCs w:val="28"/>
        </w:rPr>
        <w:t>2.下载响应：</w:t>
      </w:r>
      <w:r>
        <w:rPr>
          <w:rFonts w:hint="eastAsia" w:ascii="仿宋" w:hAnsi="仿宋" w:eastAsia="仿宋" w:cs="仿宋"/>
          <w:sz w:val="28"/>
          <w:szCs w:val="28"/>
        </w:rPr>
        <w:t xml:space="preserve">凡有意参与本次竞争性磋商的，自本公告发布即可在南通市海门区政府网站“政府采购”栏目下载响应。 </w:t>
      </w:r>
    </w:p>
    <w:p w14:paraId="631019A4">
      <w:pPr>
        <w:autoSpaceDE w:val="0"/>
        <w:autoSpaceDN w:val="0"/>
        <w:adjustRightInd w:val="0"/>
        <w:snapToGrid w:val="0"/>
        <w:spacing w:after="120" w:line="360" w:lineRule="auto"/>
        <w:ind w:firstLine="562"/>
        <w:contextualSpacing/>
        <w:rPr>
          <w:rFonts w:hint="eastAsia" w:ascii="仿宋" w:hAnsi="仿宋" w:eastAsia="仿宋" w:cs="仿宋"/>
          <w:sz w:val="28"/>
          <w:szCs w:val="28"/>
        </w:rPr>
      </w:pPr>
      <w:r>
        <w:rPr>
          <w:rFonts w:hint="eastAsia" w:ascii="仿宋" w:hAnsi="仿宋" w:eastAsia="仿宋" w:cs="仿宋"/>
          <w:b/>
          <w:bCs/>
          <w:sz w:val="28"/>
          <w:szCs w:val="28"/>
        </w:rPr>
        <w:t>3</w:t>
      </w:r>
      <w:r>
        <w:rPr>
          <w:rFonts w:hint="eastAsia" w:ascii="仿宋" w:hAnsi="仿宋" w:eastAsia="仿宋" w:cs="仿宋"/>
          <w:b/>
          <w:bCs/>
          <w:sz w:val="28"/>
          <w:szCs w:val="28"/>
          <w:lang w:val="zh-CN"/>
        </w:rPr>
        <w:t>.响应文件的编制和签署：</w:t>
      </w:r>
      <w:r>
        <w:rPr>
          <w:rFonts w:hint="eastAsia" w:ascii="仿宋" w:hAnsi="仿宋" w:eastAsia="仿宋" w:cs="仿宋"/>
          <w:sz w:val="28"/>
          <w:szCs w:val="28"/>
          <w:lang w:val="zh-CN"/>
        </w:rPr>
        <w:t>供应商按“第七部分 响应文件组成”要求编制响应文件，自编目录并连续标注页码，不得将内容拆开。</w:t>
      </w:r>
      <w:r>
        <w:rPr>
          <w:rFonts w:hint="eastAsia" w:ascii="仿宋" w:hAnsi="仿宋" w:eastAsia="仿宋" w:cs="仿宋"/>
          <w:sz w:val="28"/>
          <w:szCs w:val="28"/>
        </w:rPr>
        <w:t>响应文件不得行间插字、涂改、增删，如修补错漏处，须经响应文件签署人签字并加盖公章。</w:t>
      </w:r>
    </w:p>
    <w:p w14:paraId="1A10072D">
      <w:pPr>
        <w:widowControl/>
        <w:shd w:val="clear" w:color="auto" w:fill="FFFFFF"/>
        <w:spacing w:line="360" w:lineRule="auto"/>
        <w:ind w:firstLine="562" w:firstLineChars="200"/>
        <w:rPr>
          <w:rFonts w:hint="eastAsia" w:ascii="仿宋" w:hAnsi="仿宋" w:eastAsia="仿宋" w:cs="仿宋"/>
          <w:b/>
          <w:sz w:val="28"/>
          <w:szCs w:val="28"/>
        </w:rPr>
      </w:pPr>
      <w:r>
        <w:rPr>
          <w:rFonts w:hint="eastAsia" w:ascii="仿宋" w:hAnsi="仿宋" w:eastAsia="仿宋" w:cs="仿宋"/>
          <w:b/>
          <w:sz w:val="28"/>
          <w:szCs w:val="28"/>
        </w:rPr>
        <w:t>4.响应文件的递交：</w:t>
      </w:r>
    </w:p>
    <w:p w14:paraId="2BEC2BCD">
      <w:pPr>
        <w:widowControl/>
        <w:shd w:val="clear" w:color="auto" w:fill="FFFFFF"/>
        <w:spacing w:line="360" w:lineRule="auto"/>
        <w:ind w:firstLine="588" w:firstLineChars="200"/>
        <w:rPr>
          <w:rFonts w:hint="eastAsia" w:ascii="仿宋" w:hAnsi="仿宋" w:eastAsia="仿宋" w:cs="仿宋"/>
          <w:spacing w:val="7"/>
          <w:kern w:val="0"/>
          <w:sz w:val="28"/>
          <w:szCs w:val="28"/>
        </w:rPr>
      </w:pPr>
      <w:r>
        <w:rPr>
          <w:rFonts w:hint="eastAsia" w:ascii="仿宋" w:hAnsi="仿宋" w:eastAsia="仿宋" w:cs="仿宋"/>
          <w:spacing w:val="7"/>
          <w:kern w:val="0"/>
          <w:sz w:val="28"/>
          <w:szCs w:val="28"/>
        </w:rPr>
        <w:t>时间：</w:t>
      </w:r>
      <w:r>
        <w:rPr>
          <w:rFonts w:hint="eastAsia" w:ascii="仿宋" w:hAnsi="仿宋" w:eastAsia="仿宋" w:cs="仿宋"/>
          <w:color w:val="FF0000"/>
          <w:spacing w:val="7"/>
          <w:kern w:val="0"/>
          <w:sz w:val="28"/>
          <w:szCs w:val="28"/>
        </w:rPr>
        <w:t>2025</w:t>
      </w:r>
      <w:r>
        <w:rPr>
          <w:rFonts w:hint="eastAsia" w:ascii="仿宋" w:hAnsi="仿宋" w:eastAsia="仿宋" w:cs="仿宋"/>
          <w:color w:val="000000"/>
          <w:spacing w:val="7"/>
          <w:kern w:val="0"/>
          <w:sz w:val="28"/>
          <w:szCs w:val="28"/>
        </w:rPr>
        <w:t>年</w:t>
      </w:r>
      <w:r>
        <w:rPr>
          <w:rFonts w:hint="eastAsia" w:ascii="仿宋" w:hAnsi="仿宋" w:eastAsia="仿宋" w:cs="仿宋"/>
          <w:color w:val="FF0000"/>
          <w:spacing w:val="7"/>
          <w:kern w:val="0"/>
          <w:sz w:val="28"/>
          <w:szCs w:val="28"/>
          <w:lang w:val="en-US" w:eastAsia="zh-CN"/>
        </w:rPr>
        <w:t>8</w:t>
      </w:r>
      <w:r>
        <w:rPr>
          <w:rFonts w:hint="eastAsia" w:ascii="仿宋" w:hAnsi="仿宋" w:eastAsia="仿宋" w:cs="仿宋"/>
          <w:color w:val="000000"/>
          <w:spacing w:val="7"/>
          <w:kern w:val="0"/>
          <w:sz w:val="28"/>
          <w:szCs w:val="28"/>
        </w:rPr>
        <w:t>月</w:t>
      </w:r>
      <w:r>
        <w:rPr>
          <w:rFonts w:hint="eastAsia" w:ascii="仿宋" w:hAnsi="仿宋" w:eastAsia="仿宋" w:cs="仿宋"/>
          <w:color w:val="FF0000"/>
          <w:spacing w:val="7"/>
          <w:kern w:val="0"/>
          <w:sz w:val="28"/>
          <w:szCs w:val="28"/>
          <w:lang w:val="en-US" w:eastAsia="zh-CN"/>
        </w:rPr>
        <w:t>18</w:t>
      </w:r>
      <w:r>
        <w:rPr>
          <w:rFonts w:hint="eastAsia" w:ascii="仿宋" w:hAnsi="仿宋" w:eastAsia="仿宋" w:cs="仿宋"/>
          <w:color w:val="000000"/>
          <w:spacing w:val="7"/>
          <w:kern w:val="0"/>
          <w:sz w:val="28"/>
          <w:szCs w:val="28"/>
        </w:rPr>
        <w:t>日</w:t>
      </w:r>
      <w:r>
        <w:rPr>
          <w:rFonts w:hint="eastAsia" w:ascii="仿宋" w:hAnsi="仿宋" w:eastAsia="仿宋" w:cs="仿宋"/>
          <w:color w:val="FF0000"/>
          <w:spacing w:val="7"/>
          <w:kern w:val="0"/>
          <w:sz w:val="28"/>
          <w:szCs w:val="28"/>
          <w:lang w:val="en-US" w:eastAsia="zh-CN"/>
        </w:rPr>
        <w:t>14</w:t>
      </w:r>
      <w:r>
        <w:rPr>
          <w:rFonts w:hint="eastAsia" w:ascii="仿宋" w:hAnsi="仿宋" w:eastAsia="仿宋" w:cs="仿宋"/>
          <w:color w:val="000000"/>
          <w:spacing w:val="7"/>
          <w:kern w:val="0"/>
          <w:sz w:val="28"/>
          <w:szCs w:val="28"/>
        </w:rPr>
        <w:t>点</w:t>
      </w:r>
      <w:r>
        <w:rPr>
          <w:rFonts w:hint="eastAsia" w:ascii="仿宋" w:hAnsi="仿宋" w:eastAsia="仿宋" w:cs="仿宋"/>
          <w:color w:val="FF0000"/>
          <w:spacing w:val="7"/>
          <w:kern w:val="0"/>
          <w:sz w:val="28"/>
          <w:szCs w:val="28"/>
          <w:lang w:val="en-US" w:eastAsia="zh-CN"/>
        </w:rPr>
        <w:t>3</w:t>
      </w:r>
      <w:r>
        <w:rPr>
          <w:rFonts w:hint="eastAsia" w:ascii="仿宋" w:hAnsi="仿宋" w:eastAsia="仿宋" w:cs="仿宋"/>
          <w:color w:val="FF0000"/>
          <w:spacing w:val="7"/>
          <w:kern w:val="0"/>
          <w:sz w:val="28"/>
          <w:szCs w:val="28"/>
        </w:rPr>
        <w:t>0</w:t>
      </w:r>
      <w:r>
        <w:rPr>
          <w:rFonts w:hint="eastAsia" w:ascii="仿宋" w:hAnsi="仿宋" w:eastAsia="仿宋" w:cs="仿宋"/>
          <w:color w:val="000000"/>
          <w:spacing w:val="7"/>
          <w:kern w:val="0"/>
          <w:sz w:val="28"/>
          <w:szCs w:val="28"/>
        </w:rPr>
        <w:t>分</w:t>
      </w:r>
      <w:r>
        <w:rPr>
          <w:rFonts w:hint="eastAsia" w:ascii="仿宋" w:hAnsi="仿宋" w:eastAsia="仿宋" w:cs="仿宋"/>
          <w:spacing w:val="7"/>
          <w:kern w:val="0"/>
          <w:sz w:val="28"/>
          <w:szCs w:val="28"/>
        </w:rPr>
        <w:t>（北京时间）</w:t>
      </w:r>
    </w:p>
    <w:p w14:paraId="2A8D47CA">
      <w:pPr>
        <w:snapToGrid w:val="0"/>
        <w:spacing w:line="360" w:lineRule="auto"/>
        <w:ind w:firstLine="588" w:firstLineChars="200"/>
        <w:contextualSpacing/>
        <w:rPr>
          <w:rFonts w:hint="eastAsia" w:ascii="仿宋" w:hAnsi="仿宋" w:eastAsia="仿宋" w:cs="仿宋"/>
          <w:kern w:val="0"/>
          <w:sz w:val="28"/>
          <w:szCs w:val="28"/>
        </w:rPr>
      </w:pPr>
      <w:r>
        <w:rPr>
          <w:rFonts w:hint="eastAsia" w:ascii="仿宋" w:hAnsi="仿宋" w:eastAsia="仿宋" w:cs="仿宋"/>
          <w:spacing w:val="7"/>
          <w:kern w:val="0"/>
          <w:sz w:val="28"/>
          <w:szCs w:val="28"/>
        </w:rPr>
        <w:t>地点：</w:t>
      </w:r>
      <w:r>
        <w:rPr>
          <w:rFonts w:hint="eastAsia" w:ascii="仿宋" w:hAnsi="仿宋" w:eastAsia="仿宋" w:cs="仿宋"/>
          <w:color w:val="FF0000"/>
          <w:spacing w:val="7"/>
          <w:kern w:val="0"/>
          <w:sz w:val="28"/>
          <w:szCs w:val="28"/>
        </w:rPr>
        <w:t>南通市海门区北京中路600号行政中心9楼西北角会议室</w:t>
      </w:r>
    </w:p>
    <w:p w14:paraId="358872A7">
      <w:pPr>
        <w:snapToGrid w:val="0"/>
        <w:spacing w:line="360" w:lineRule="auto"/>
        <w:ind w:firstLine="562" w:firstLineChars="200"/>
        <w:contextualSpacing/>
        <w:rPr>
          <w:rFonts w:hint="eastAsia" w:ascii="仿宋" w:hAnsi="仿宋" w:eastAsia="仿宋" w:cs="仿宋"/>
          <w:b/>
          <w:sz w:val="28"/>
          <w:szCs w:val="28"/>
        </w:rPr>
      </w:pPr>
      <w:r>
        <w:rPr>
          <w:rFonts w:hint="eastAsia" w:ascii="仿宋" w:hAnsi="仿宋" w:eastAsia="仿宋" w:cs="仿宋"/>
          <w:b/>
          <w:sz w:val="28"/>
          <w:szCs w:val="28"/>
        </w:rPr>
        <w:t>四、报价准备</w:t>
      </w:r>
    </w:p>
    <w:p w14:paraId="56486AA8">
      <w:pPr>
        <w:pStyle w:val="48"/>
        <w:snapToGrid w:val="0"/>
        <w:spacing w:line="360" w:lineRule="auto"/>
        <w:ind w:firstLine="577"/>
        <w:contextualSpacing/>
        <w:rPr>
          <w:rFonts w:hint="eastAsia" w:ascii="仿宋" w:hAnsi="仿宋" w:eastAsia="仿宋" w:cs="仿宋"/>
          <w:sz w:val="28"/>
        </w:rPr>
      </w:pPr>
      <w:r>
        <w:rPr>
          <w:rFonts w:hint="eastAsia" w:ascii="仿宋" w:hAnsi="仿宋" w:eastAsia="仿宋" w:cs="仿宋"/>
          <w:sz w:val="28"/>
        </w:rPr>
        <w:t>1.磋商结束后，供应商就所有内容进行最后报价，少报无效。</w:t>
      </w:r>
    </w:p>
    <w:p w14:paraId="5986B7D2">
      <w:pPr>
        <w:pStyle w:val="48"/>
        <w:snapToGrid w:val="0"/>
        <w:spacing w:line="360" w:lineRule="auto"/>
        <w:ind w:firstLine="577"/>
        <w:contextualSpacing/>
        <w:rPr>
          <w:rFonts w:hint="eastAsia" w:ascii="仿宋" w:hAnsi="仿宋" w:eastAsia="仿宋" w:cs="仿宋"/>
          <w:sz w:val="28"/>
        </w:rPr>
      </w:pPr>
      <w:r>
        <w:rPr>
          <w:rFonts w:hint="eastAsia" w:ascii="仿宋" w:hAnsi="仿宋" w:eastAsia="仿宋" w:cs="仿宋"/>
          <w:sz w:val="28"/>
        </w:rPr>
        <w:t xml:space="preserve">2.最后报价应包括本项目的全部费用 (含一切必须的辅助材料费用)及相关服务费等。 </w:t>
      </w:r>
    </w:p>
    <w:p w14:paraId="2B8C578B">
      <w:pPr>
        <w:pStyle w:val="48"/>
        <w:snapToGrid w:val="0"/>
        <w:spacing w:line="360" w:lineRule="auto"/>
        <w:ind w:firstLine="577"/>
        <w:contextualSpacing/>
        <w:rPr>
          <w:rFonts w:hint="eastAsia" w:ascii="仿宋" w:hAnsi="仿宋" w:eastAsia="仿宋" w:cs="仿宋"/>
          <w:sz w:val="28"/>
        </w:rPr>
      </w:pPr>
      <w:r>
        <w:rPr>
          <w:rFonts w:hint="eastAsia" w:ascii="仿宋" w:hAnsi="仿宋" w:eastAsia="仿宋" w:cs="仿宋"/>
          <w:sz w:val="28"/>
        </w:rPr>
        <w:t>3.最后报价将作为磋商小组评定成交供应商的组成依据。</w:t>
      </w:r>
    </w:p>
    <w:p w14:paraId="01B7BBD7">
      <w:pPr>
        <w:snapToGrid w:val="0"/>
        <w:spacing w:line="360" w:lineRule="auto"/>
        <w:ind w:firstLine="562" w:firstLineChars="200"/>
        <w:contextualSpacing/>
        <w:rPr>
          <w:rFonts w:hint="eastAsia" w:ascii="仿宋" w:hAnsi="仿宋" w:eastAsia="仿宋" w:cs="仿宋"/>
          <w:b/>
          <w:bCs/>
          <w:sz w:val="28"/>
          <w:szCs w:val="28"/>
        </w:rPr>
      </w:pPr>
      <w:r>
        <w:rPr>
          <w:rFonts w:hint="eastAsia" w:ascii="仿宋" w:hAnsi="仿宋" w:eastAsia="仿宋" w:cs="仿宋"/>
          <w:b/>
          <w:bCs/>
          <w:sz w:val="28"/>
          <w:szCs w:val="28"/>
        </w:rPr>
        <w:t>友情提醒：</w:t>
      </w:r>
      <w:r>
        <w:rPr>
          <w:rFonts w:hint="eastAsia" w:ascii="仿宋" w:hAnsi="仿宋" w:eastAsia="仿宋" w:cs="仿宋"/>
          <w:b/>
          <w:sz w:val="28"/>
          <w:szCs w:val="28"/>
        </w:rPr>
        <w:t>商务技术部分评审结束后进入最后报价环节</w:t>
      </w:r>
      <w:r>
        <w:rPr>
          <w:rFonts w:hint="eastAsia" w:ascii="仿宋" w:hAnsi="仿宋" w:eastAsia="仿宋" w:cs="仿宋"/>
          <w:b/>
          <w:bCs/>
          <w:sz w:val="28"/>
          <w:szCs w:val="28"/>
        </w:rPr>
        <w:t>，最后报价将作为评审价。</w:t>
      </w:r>
    </w:p>
    <w:p w14:paraId="72A97E9C">
      <w:pPr>
        <w:snapToGrid w:val="0"/>
        <w:spacing w:line="360" w:lineRule="auto"/>
        <w:ind w:firstLine="562" w:firstLineChars="200"/>
        <w:contextualSpacing/>
        <w:rPr>
          <w:rFonts w:hint="eastAsia" w:ascii="仿宋" w:hAnsi="仿宋" w:eastAsia="仿宋" w:cs="仿宋"/>
          <w:b/>
          <w:sz w:val="28"/>
          <w:szCs w:val="28"/>
        </w:rPr>
      </w:pPr>
      <w:r>
        <w:rPr>
          <w:rFonts w:hint="eastAsia" w:ascii="仿宋" w:hAnsi="仿宋" w:eastAsia="仿宋" w:cs="仿宋"/>
          <w:b/>
          <w:sz w:val="28"/>
          <w:szCs w:val="28"/>
        </w:rPr>
        <w:t>五、竞争性磋商程序简介</w:t>
      </w:r>
    </w:p>
    <w:p w14:paraId="11ACCBC5">
      <w:pPr>
        <w:snapToGrid w:val="0"/>
        <w:spacing w:line="360" w:lineRule="auto"/>
        <w:ind w:firstLine="562" w:firstLineChars="200"/>
        <w:contextualSpacing/>
        <w:rPr>
          <w:rFonts w:hint="eastAsia" w:ascii="仿宋" w:hAnsi="仿宋" w:eastAsia="仿宋" w:cs="仿宋"/>
          <w:sz w:val="28"/>
          <w:szCs w:val="28"/>
        </w:rPr>
      </w:pPr>
      <w:r>
        <w:rPr>
          <w:rFonts w:hint="eastAsia" w:ascii="仿宋" w:hAnsi="仿宋" w:eastAsia="仿宋" w:cs="仿宋"/>
          <w:b/>
          <w:sz w:val="28"/>
          <w:szCs w:val="28"/>
        </w:rPr>
        <w:t>磋商小组审查响应供应商资格，</w:t>
      </w:r>
      <w:r>
        <w:rPr>
          <w:rFonts w:hint="eastAsia" w:ascii="仿宋" w:hAnsi="仿宋" w:eastAsia="仿宋" w:cs="仿宋"/>
          <w:sz w:val="28"/>
          <w:szCs w:val="28"/>
        </w:rPr>
        <w:t>符合资格的供应商接受磋商小组的各轮磋商。磋商结束后要求所有实质性响应的供应商在规定时间内提交最后报价（提交最后报价的供应商不得少于3家），磋商小组采用综合评分法对提交最后报价的供应商的响应文件和最后报价进行综合评分，响应文件满足磋商文件全部实质性要求且按评审因素的量化指标评审得分前3名者，为成交供应商。</w:t>
      </w:r>
    </w:p>
    <w:p w14:paraId="16F4EE86">
      <w:pPr>
        <w:autoSpaceDE w:val="0"/>
        <w:autoSpaceDN w:val="0"/>
        <w:adjustRightInd w:val="0"/>
        <w:snapToGrid w:val="0"/>
        <w:spacing w:line="360" w:lineRule="auto"/>
        <w:ind w:right="210" w:firstLine="560"/>
        <w:contextualSpacing/>
        <w:rPr>
          <w:rFonts w:hint="eastAsia" w:ascii="仿宋" w:hAnsi="仿宋" w:eastAsia="仿宋" w:cs="仿宋"/>
          <w:sz w:val="28"/>
          <w:szCs w:val="28"/>
        </w:rPr>
      </w:pPr>
      <w:r>
        <w:rPr>
          <w:rFonts w:hint="eastAsia" w:ascii="仿宋" w:hAnsi="仿宋" w:eastAsia="仿宋" w:cs="仿宋"/>
          <w:b/>
          <w:bCs/>
          <w:sz w:val="28"/>
          <w:szCs w:val="28"/>
        </w:rPr>
        <w:t>六、相关费用</w:t>
      </w:r>
    </w:p>
    <w:p w14:paraId="291BADAE">
      <w:pPr>
        <w:snapToGrid w:val="0"/>
        <w:spacing w:line="360" w:lineRule="auto"/>
        <w:ind w:firstLine="560" w:firstLineChars="200"/>
        <w:contextualSpacing/>
        <w:rPr>
          <w:rFonts w:hint="eastAsia" w:ascii="仿宋" w:hAnsi="仿宋" w:eastAsia="仿宋" w:cs="仿宋"/>
          <w:sz w:val="28"/>
          <w:szCs w:val="28"/>
        </w:rPr>
      </w:pPr>
      <w:r>
        <w:rPr>
          <w:rFonts w:hint="eastAsia" w:ascii="仿宋" w:hAnsi="仿宋" w:eastAsia="仿宋" w:cs="仿宋"/>
          <w:sz w:val="28"/>
          <w:szCs w:val="28"/>
        </w:rPr>
        <w:t>1.供应商承担参与磋商可能发生的全部费用，采购单位在任何情况下均无义务和责任承担这些费用。</w:t>
      </w:r>
    </w:p>
    <w:p w14:paraId="6BB376EC">
      <w:pPr>
        <w:snapToGrid w:val="0"/>
        <w:spacing w:line="360" w:lineRule="auto"/>
        <w:ind w:firstLine="560" w:firstLineChars="200"/>
        <w:contextualSpacing/>
        <w:rPr>
          <w:rFonts w:hint="eastAsia" w:ascii="仿宋" w:hAnsi="仿宋" w:eastAsia="仿宋" w:cs="仿宋"/>
          <w:sz w:val="28"/>
          <w:szCs w:val="28"/>
        </w:rPr>
      </w:pPr>
      <w:r>
        <w:rPr>
          <w:rFonts w:hint="eastAsia" w:ascii="仿宋" w:hAnsi="仿宋" w:eastAsia="仿宋" w:cs="仿宋"/>
          <w:sz w:val="28"/>
          <w:szCs w:val="28"/>
        </w:rPr>
        <w:t>2.采购单位不收取任何费用。</w:t>
      </w:r>
    </w:p>
    <w:p w14:paraId="4E724C75">
      <w:pPr>
        <w:autoSpaceDE w:val="0"/>
        <w:autoSpaceDN w:val="0"/>
        <w:adjustRightInd w:val="0"/>
        <w:snapToGrid w:val="0"/>
        <w:spacing w:line="360" w:lineRule="auto"/>
        <w:ind w:right="210" w:firstLine="560"/>
        <w:contextualSpacing/>
        <w:rPr>
          <w:rFonts w:hint="eastAsia" w:ascii="仿宋" w:hAnsi="仿宋" w:eastAsia="仿宋" w:cs="仿宋"/>
          <w:b/>
          <w:bCs/>
          <w:sz w:val="28"/>
          <w:szCs w:val="28"/>
        </w:rPr>
      </w:pPr>
      <w:r>
        <w:rPr>
          <w:rFonts w:hint="eastAsia" w:ascii="仿宋" w:hAnsi="仿宋" w:eastAsia="仿宋" w:cs="仿宋"/>
          <w:b/>
          <w:bCs/>
          <w:sz w:val="28"/>
          <w:szCs w:val="28"/>
        </w:rPr>
        <w:t>七、其他说明</w:t>
      </w:r>
    </w:p>
    <w:p w14:paraId="074F38E0">
      <w:pPr>
        <w:snapToGrid w:val="0"/>
        <w:spacing w:line="360" w:lineRule="auto"/>
        <w:ind w:firstLine="560" w:firstLineChars="200"/>
        <w:contextualSpacing/>
        <w:rPr>
          <w:rFonts w:hint="eastAsia" w:ascii="仿宋" w:hAnsi="仿宋" w:eastAsia="仿宋" w:cs="仿宋"/>
          <w:sz w:val="28"/>
          <w:szCs w:val="28"/>
        </w:rPr>
      </w:pPr>
      <w:r>
        <w:rPr>
          <w:rFonts w:hint="eastAsia" w:ascii="仿宋" w:hAnsi="仿宋" w:eastAsia="仿宋" w:cs="仿宋"/>
          <w:sz w:val="28"/>
          <w:szCs w:val="28"/>
        </w:rPr>
        <w:t>无。</w:t>
      </w:r>
    </w:p>
    <w:p w14:paraId="606169D1">
      <w:pPr>
        <w:snapToGrid w:val="0"/>
        <w:spacing w:line="300" w:lineRule="auto"/>
        <w:ind w:firstLine="560" w:firstLineChars="200"/>
        <w:contextualSpacing/>
        <w:rPr>
          <w:rFonts w:hint="eastAsia" w:ascii="仿宋_GB2312" w:hAnsi="宋体" w:eastAsia="仿宋_GB2312"/>
          <w:sz w:val="28"/>
          <w:szCs w:val="28"/>
          <w:lang w:val="zh-CN"/>
        </w:rPr>
      </w:pPr>
    </w:p>
    <w:p w14:paraId="109DE5BF">
      <w:pPr>
        <w:autoSpaceDE w:val="0"/>
        <w:autoSpaceDN w:val="0"/>
        <w:adjustRightInd w:val="0"/>
        <w:snapToGrid w:val="0"/>
        <w:spacing w:line="360" w:lineRule="auto"/>
        <w:jc w:val="center"/>
        <w:outlineLvl w:val="0"/>
        <w:rPr>
          <w:rFonts w:ascii="仿宋_GB2312" w:eastAsia="仿宋_GB2312"/>
          <w:b/>
          <w:bCs/>
          <w:szCs w:val="21"/>
          <w:lang w:val="zh-CN"/>
        </w:rPr>
      </w:pPr>
      <w:r>
        <w:rPr>
          <w:rFonts w:hint="eastAsia" w:ascii="仿宋_GB2312" w:eastAsia="仿宋_GB2312"/>
          <w:b/>
          <w:bCs/>
          <w:sz w:val="36"/>
          <w:szCs w:val="36"/>
          <w:lang w:val="zh-CN"/>
        </w:rPr>
        <w:br w:type="page"/>
      </w:r>
      <w:r>
        <w:rPr>
          <w:rFonts w:hint="eastAsia" w:ascii="仿宋_GB2312" w:eastAsia="仿宋_GB2312"/>
          <w:b/>
          <w:bCs/>
          <w:sz w:val="36"/>
          <w:szCs w:val="36"/>
          <w:lang w:val="zh-CN"/>
        </w:rPr>
        <w:t>第三部分 项目需求</w:t>
      </w:r>
    </w:p>
    <w:p w14:paraId="63E5E323">
      <w:pPr>
        <w:snapToGrid w:val="0"/>
        <w:spacing w:line="360" w:lineRule="auto"/>
        <w:ind w:firstLine="562" w:firstLineChars="200"/>
        <w:rPr>
          <w:rFonts w:hint="eastAsia" w:ascii="仿宋_GB2312" w:hAnsi="宋体" w:eastAsia="仿宋_GB2312"/>
          <w:b/>
          <w:sz w:val="28"/>
          <w:szCs w:val="28"/>
        </w:rPr>
      </w:pPr>
    </w:p>
    <w:p w14:paraId="462FAB0F">
      <w:pPr>
        <w:widowControl/>
        <w:adjustRightInd w:val="0"/>
        <w:snapToGrid w:val="0"/>
        <w:spacing w:line="360" w:lineRule="auto"/>
        <w:ind w:firstLine="640" w:firstLineChars="200"/>
        <w:jc w:val="left"/>
        <w:rPr>
          <w:rFonts w:hint="eastAsia" w:ascii="黑体" w:hAnsi="黑体" w:eastAsia="黑体" w:cs="宋体"/>
          <w:kern w:val="0"/>
          <w:sz w:val="32"/>
          <w:szCs w:val="32"/>
        </w:rPr>
      </w:pPr>
      <w:r>
        <w:rPr>
          <w:rFonts w:hint="eastAsia" w:ascii="黑体" w:hAnsi="黑体" w:eastAsia="黑体" w:cs="宋体"/>
          <w:kern w:val="0"/>
          <w:sz w:val="32"/>
          <w:szCs w:val="32"/>
        </w:rPr>
        <w:t>一、项目简介</w:t>
      </w:r>
    </w:p>
    <w:p w14:paraId="0A8858C3">
      <w:pPr>
        <w:widowControl/>
        <w:adjustRightInd w:val="0"/>
        <w:snapToGrid w:val="0"/>
        <w:spacing w:line="360" w:lineRule="auto"/>
        <w:ind w:firstLine="560" w:firstLineChars="200"/>
        <w:jc w:val="left"/>
        <w:rPr>
          <w:rFonts w:hint="eastAsia" w:ascii="仿宋" w:hAnsi="仿宋" w:eastAsia="仿宋" w:cs="宋体"/>
          <w:kern w:val="0"/>
          <w:sz w:val="28"/>
          <w:szCs w:val="28"/>
        </w:rPr>
      </w:pPr>
      <w:r>
        <w:rPr>
          <w:rFonts w:hint="eastAsia" w:ascii="仿宋" w:hAnsi="仿宋" w:eastAsia="仿宋" w:cs="宋体"/>
          <w:kern w:val="0"/>
          <w:sz w:val="28"/>
          <w:szCs w:val="28"/>
        </w:rPr>
        <w:t>《中华人民共和国网络安全法》第二十一条规定：国家实行网络安全等级保护制度。《信息安全等级保护管理办法》（公通字[2007]43号文件）第十四条规定：信息系统建设完成后，运营、使用单位或者其主管部门应当选择符合本办法规定条件的测评机构，依据《信息系统安全等级保护测评要求》等技术标准，定期对信息系统安全等级状况开展等级测评。</w:t>
      </w:r>
    </w:p>
    <w:p w14:paraId="21F96949">
      <w:pPr>
        <w:widowControl/>
        <w:shd w:val="clear" w:color="auto" w:fill="FFFFFF"/>
        <w:spacing w:line="360" w:lineRule="auto"/>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综上所述</w:t>
      </w:r>
      <w:r>
        <w:rPr>
          <w:rFonts w:ascii="仿宋" w:hAnsi="仿宋" w:eastAsia="仿宋" w:cs="宋体"/>
          <w:kern w:val="0"/>
          <w:sz w:val="28"/>
          <w:szCs w:val="28"/>
        </w:rPr>
        <w:t>，我单位决定对</w:t>
      </w:r>
      <w:r>
        <w:rPr>
          <w:rFonts w:hint="eastAsia" w:ascii="仿宋" w:hAnsi="仿宋" w:eastAsia="仿宋"/>
          <w:color w:val="FF0000"/>
          <w:sz w:val="28"/>
          <w:szCs w:val="28"/>
        </w:rPr>
        <w:t>海门</w:t>
      </w:r>
      <w:r>
        <w:rPr>
          <w:rFonts w:hint="eastAsia" w:ascii="仿宋" w:hAnsi="仿宋" w:eastAsia="仿宋"/>
          <w:color w:val="FF0000"/>
          <w:sz w:val="28"/>
          <w:szCs w:val="28"/>
          <w:lang w:val="en-US" w:eastAsia="zh-CN"/>
        </w:rPr>
        <w:t>数字人大</w:t>
      </w:r>
      <w:r>
        <w:rPr>
          <w:rFonts w:hint="eastAsia" w:ascii="仿宋" w:hAnsi="仿宋" w:eastAsia="仿宋"/>
          <w:color w:val="FF0000"/>
          <w:sz w:val="28"/>
          <w:szCs w:val="28"/>
        </w:rPr>
        <w:t>系统</w:t>
      </w:r>
      <w:r>
        <w:rPr>
          <w:rFonts w:hint="eastAsia" w:ascii="仿宋" w:hAnsi="仿宋" w:eastAsia="仿宋" w:cs="仿宋"/>
          <w:color w:val="000000"/>
          <w:spacing w:val="7"/>
          <w:kern w:val="0"/>
          <w:sz w:val="28"/>
          <w:szCs w:val="28"/>
        </w:rPr>
        <w:t>进行网络安全等级保护测评</w:t>
      </w:r>
      <w:r>
        <w:rPr>
          <w:rFonts w:ascii="仿宋" w:hAnsi="仿宋" w:eastAsia="仿宋" w:cs="宋体"/>
          <w:color w:val="000000"/>
          <w:kern w:val="0"/>
          <w:sz w:val="28"/>
          <w:szCs w:val="28"/>
        </w:rPr>
        <w:t>，</w:t>
      </w:r>
      <w:r>
        <w:rPr>
          <w:rFonts w:ascii="仿宋" w:hAnsi="仿宋" w:eastAsia="仿宋" w:cs="宋体"/>
          <w:kern w:val="0"/>
          <w:sz w:val="28"/>
          <w:szCs w:val="28"/>
        </w:rPr>
        <w:t>以</w:t>
      </w:r>
      <w:r>
        <w:rPr>
          <w:rFonts w:hint="eastAsia" w:ascii="仿宋" w:hAnsi="仿宋" w:eastAsia="仿宋" w:cs="宋体"/>
          <w:kern w:val="0"/>
          <w:sz w:val="28"/>
          <w:szCs w:val="28"/>
        </w:rPr>
        <w:t>发现单位系统内、外部存在的安全风险和脆弱性，明确</w:t>
      </w:r>
      <w:r>
        <w:rPr>
          <w:rFonts w:ascii="仿宋" w:hAnsi="仿宋" w:eastAsia="仿宋" w:cs="宋体"/>
          <w:kern w:val="0"/>
          <w:sz w:val="28"/>
          <w:szCs w:val="28"/>
        </w:rPr>
        <w:t>整改方向</w:t>
      </w:r>
      <w:r>
        <w:rPr>
          <w:rFonts w:hint="eastAsia" w:ascii="仿宋" w:hAnsi="仿宋" w:eastAsia="仿宋" w:cs="宋体"/>
          <w:kern w:val="0"/>
          <w:sz w:val="28"/>
          <w:szCs w:val="28"/>
        </w:rPr>
        <w:t>，提高信息系统的信息安全防护能力，降低系统被各种攻击的风险。</w:t>
      </w:r>
    </w:p>
    <w:p w14:paraId="3F2A3D54">
      <w:pPr>
        <w:adjustRightInd w:val="0"/>
        <w:snapToGrid w:val="0"/>
        <w:spacing w:line="360" w:lineRule="auto"/>
        <w:ind w:firstLine="640" w:firstLineChars="200"/>
        <w:rPr>
          <w:rFonts w:hint="eastAsia" w:ascii="黑体" w:hAnsi="黑体" w:eastAsia="黑体"/>
          <w:bCs/>
          <w:sz w:val="32"/>
          <w:szCs w:val="32"/>
        </w:rPr>
      </w:pPr>
      <w:r>
        <w:rPr>
          <w:rFonts w:hint="eastAsia" w:ascii="黑体" w:hAnsi="黑体" w:eastAsia="黑体"/>
          <w:bCs/>
          <w:sz w:val="32"/>
          <w:szCs w:val="32"/>
        </w:rPr>
        <w:t>二、</w:t>
      </w:r>
      <w:r>
        <w:rPr>
          <w:rFonts w:hint="eastAsia" w:ascii="黑体" w:hAnsi="黑体" w:eastAsia="黑体" w:cs="宋体"/>
          <w:kern w:val="0"/>
          <w:sz w:val="32"/>
          <w:szCs w:val="32"/>
        </w:rPr>
        <w:t>采购内容</w:t>
      </w:r>
    </w:p>
    <w:p w14:paraId="4DD41870">
      <w:pPr>
        <w:widowControl/>
        <w:shd w:val="clear" w:color="auto" w:fill="FFFFFF"/>
        <w:spacing w:line="360" w:lineRule="auto"/>
        <w:ind w:firstLine="580" w:firstLineChars="200"/>
        <w:jc w:val="left"/>
        <w:rPr>
          <w:rFonts w:hint="eastAsia" w:ascii="仿宋" w:hAnsi="仿宋" w:eastAsia="仿宋" w:cs="宋体"/>
          <w:kern w:val="0"/>
          <w:sz w:val="29"/>
          <w:szCs w:val="29"/>
        </w:rPr>
      </w:pPr>
      <w:r>
        <w:rPr>
          <w:rFonts w:hint="eastAsia" w:ascii="仿宋" w:hAnsi="仿宋" w:eastAsia="仿宋" w:cs="宋体"/>
          <w:kern w:val="0"/>
          <w:sz w:val="29"/>
          <w:szCs w:val="29"/>
        </w:rPr>
        <w:t>委托具备资质的第三方信息安全等级测评机构（以下简称“测评机构”）对</w:t>
      </w:r>
      <w:r>
        <w:rPr>
          <w:rFonts w:hint="eastAsia" w:ascii="仿宋" w:hAnsi="仿宋" w:eastAsia="仿宋"/>
          <w:color w:val="FF0000"/>
          <w:sz w:val="28"/>
          <w:szCs w:val="28"/>
        </w:rPr>
        <w:t>海门数字人大系统</w:t>
      </w:r>
      <w:r>
        <w:rPr>
          <w:rFonts w:hint="eastAsia" w:ascii="仿宋" w:hAnsi="仿宋" w:eastAsia="仿宋" w:cs="仿宋"/>
          <w:color w:val="000000"/>
          <w:spacing w:val="7"/>
          <w:kern w:val="0"/>
          <w:sz w:val="28"/>
          <w:szCs w:val="28"/>
        </w:rPr>
        <w:t>进行网络安全等级保护测评</w:t>
      </w:r>
      <w:r>
        <w:rPr>
          <w:rFonts w:hint="eastAsia" w:ascii="仿宋" w:hAnsi="仿宋" w:eastAsia="仿宋" w:cs="宋体"/>
          <w:kern w:val="0"/>
          <w:sz w:val="29"/>
          <w:szCs w:val="29"/>
        </w:rPr>
        <w:t>，查找与分析现有系统的安全防护能力与标准之间的差距并出具最终的网络安全等级保护测评报告。</w:t>
      </w:r>
    </w:p>
    <w:p w14:paraId="541B4C69">
      <w:pPr>
        <w:widowControl/>
        <w:shd w:val="clear" w:color="auto" w:fill="FFFFFF"/>
        <w:spacing w:line="360" w:lineRule="auto"/>
        <w:ind w:firstLine="555"/>
        <w:jc w:val="left"/>
        <w:rPr>
          <w:rFonts w:hint="eastAsia" w:ascii="仿宋" w:hAnsi="仿宋" w:eastAsia="仿宋" w:cs="宋体"/>
          <w:b/>
          <w:bCs/>
          <w:kern w:val="0"/>
          <w:sz w:val="29"/>
          <w:szCs w:val="29"/>
        </w:rPr>
      </w:pPr>
      <w:r>
        <w:rPr>
          <w:rFonts w:hint="eastAsia" w:ascii="仿宋" w:hAnsi="仿宋" w:eastAsia="仿宋" w:cs="宋体"/>
          <w:b/>
          <w:bCs/>
          <w:kern w:val="0"/>
          <w:sz w:val="29"/>
          <w:szCs w:val="29"/>
        </w:rPr>
        <w:t>1</w:t>
      </w:r>
      <w:r>
        <w:rPr>
          <w:rFonts w:ascii="仿宋" w:hAnsi="仿宋" w:eastAsia="仿宋" w:cs="宋体"/>
          <w:b/>
          <w:bCs/>
          <w:kern w:val="0"/>
          <w:sz w:val="29"/>
          <w:szCs w:val="29"/>
        </w:rPr>
        <w:t>.</w:t>
      </w:r>
      <w:r>
        <w:rPr>
          <w:rFonts w:hint="eastAsia" w:ascii="仿宋" w:hAnsi="仿宋" w:eastAsia="仿宋" w:cs="宋体"/>
          <w:b/>
          <w:bCs/>
          <w:kern w:val="0"/>
          <w:sz w:val="29"/>
          <w:szCs w:val="29"/>
        </w:rPr>
        <w:t>系统名称及备案情况</w:t>
      </w:r>
    </w:p>
    <w:tbl>
      <w:tblPr>
        <w:tblStyle w:val="17"/>
        <w:tblW w:w="9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5232"/>
        <w:gridCol w:w="2091"/>
        <w:gridCol w:w="1582"/>
      </w:tblGrid>
      <w:tr w14:paraId="01B5B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56" w:type="dxa"/>
            <w:vAlign w:val="center"/>
          </w:tcPr>
          <w:p w14:paraId="6773A811">
            <w:pPr>
              <w:adjustRightInd w:val="0"/>
              <w:snapToGrid w:val="0"/>
              <w:spacing w:line="480" w:lineRule="exact"/>
              <w:jc w:val="center"/>
              <w:rPr>
                <w:rFonts w:hint="eastAsia" w:ascii="仿宋" w:hAnsi="仿宋" w:eastAsia="仿宋"/>
                <w:b/>
                <w:sz w:val="28"/>
                <w:szCs w:val="28"/>
              </w:rPr>
            </w:pPr>
            <w:r>
              <w:rPr>
                <w:rFonts w:hint="eastAsia" w:ascii="仿宋" w:hAnsi="仿宋" w:eastAsia="仿宋"/>
                <w:b/>
                <w:sz w:val="28"/>
                <w:szCs w:val="28"/>
              </w:rPr>
              <w:t>序号</w:t>
            </w:r>
          </w:p>
        </w:tc>
        <w:tc>
          <w:tcPr>
            <w:tcW w:w="5232" w:type="dxa"/>
            <w:vAlign w:val="center"/>
          </w:tcPr>
          <w:p w14:paraId="7E7A1D66">
            <w:pPr>
              <w:adjustRightInd w:val="0"/>
              <w:snapToGrid w:val="0"/>
              <w:spacing w:line="480" w:lineRule="exact"/>
              <w:jc w:val="center"/>
              <w:rPr>
                <w:rFonts w:hint="eastAsia" w:ascii="仿宋" w:hAnsi="仿宋" w:eastAsia="仿宋"/>
                <w:b/>
                <w:sz w:val="28"/>
                <w:szCs w:val="28"/>
              </w:rPr>
            </w:pPr>
            <w:r>
              <w:rPr>
                <w:rFonts w:hint="eastAsia" w:ascii="仿宋" w:hAnsi="仿宋" w:eastAsia="仿宋"/>
                <w:b/>
                <w:sz w:val="28"/>
                <w:szCs w:val="28"/>
              </w:rPr>
              <w:t>系统名称</w:t>
            </w:r>
          </w:p>
        </w:tc>
        <w:tc>
          <w:tcPr>
            <w:tcW w:w="2091" w:type="dxa"/>
            <w:vAlign w:val="center"/>
          </w:tcPr>
          <w:p w14:paraId="0839C841">
            <w:pPr>
              <w:adjustRightInd w:val="0"/>
              <w:snapToGrid w:val="0"/>
              <w:spacing w:line="480" w:lineRule="exact"/>
              <w:jc w:val="center"/>
              <w:rPr>
                <w:rFonts w:hint="eastAsia" w:ascii="仿宋" w:hAnsi="仿宋" w:eastAsia="仿宋"/>
                <w:b/>
                <w:sz w:val="28"/>
                <w:szCs w:val="28"/>
              </w:rPr>
            </w:pPr>
            <w:r>
              <w:rPr>
                <w:rFonts w:hint="eastAsia" w:ascii="仿宋" w:hAnsi="仿宋" w:eastAsia="仿宋"/>
                <w:b/>
                <w:sz w:val="28"/>
                <w:szCs w:val="28"/>
              </w:rPr>
              <w:t>备案</w:t>
            </w:r>
            <w:r>
              <w:rPr>
                <w:rFonts w:ascii="仿宋" w:hAnsi="仿宋" w:eastAsia="仿宋"/>
                <w:b/>
                <w:sz w:val="28"/>
                <w:szCs w:val="28"/>
              </w:rPr>
              <w:t>情况</w:t>
            </w:r>
          </w:p>
        </w:tc>
        <w:tc>
          <w:tcPr>
            <w:tcW w:w="1582" w:type="dxa"/>
            <w:vAlign w:val="center"/>
          </w:tcPr>
          <w:p w14:paraId="266E03DE">
            <w:pPr>
              <w:adjustRightInd w:val="0"/>
              <w:snapToGrid w:val="0"/>
              <w:spacing w:line="480" w:lineRule="exact"/>
              <w:jc w:val="center"/>
              <w:rPr>
                <w:rFonts w:hint="eastAsia" w:ascii="仿宋" w:hAnsi="仿宋" w:eastAsia="仿宋"/>
                <w:b/>
                <w:sz w:val="28"/>
                <w:szCs w:val="28"/>
              </w:rPr>
            </w:pPr>
            <w:r>
              <w:rPr>
                <w:rFonts w:hint="eastAsia" w:ascii="仿宋" w:hAnsi="仿宋" w:eastAsia="仿宋"/>
                <w:b/>
                <w:sz w:val="28"/>
                <w:szCs w:val="28"/>
              </w:rPr>
              <w:t>预算</w:t>
            </w:r>
          </w:p>
        </w:tc>
      </w:tr>
      <w:tr w14:paraId="0C9DF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56" w:type="dxa"/>
            <w:vAlign w:val="center"/>
          </w:tcPr>
          <w:p w14:paraId="79AB63F5">
            <w:pPr>
              <w:adjustRightInd w:val="0"/>
              <w:snapToGrid w:val="0"/>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5232" w:type="dxa"/>
            <w:vAlign w:val="center"/>
          </w:tcPr>
          <w:p w14:paraId="2C29C07D">
            <w:pPr>
              <w:adjustRightInd w:val="0"/>
              <w:snapToGrid w:val="0"/>
              <w:spacing w:line="480" w:lineRule="exact"/>
              <w:jc w:val="center"/>
              <w:rPr>
                <w:rFonts w:hint="eastAsia" w:ascii="仿宋" w:hAnsi="仿宋" w:eastAsia="仿宋"/>
                <w:sz w:val="28"/>
                <w:szCs w:val="28"/>
              </w:rPr>
            </w:pPr>
            <w:r>
              <w:rPr>
                <w:rFonts w:hint="eastAsia" w:ascii="仿宋" w:hAnsi="仿宋" w:eastAsia="仿宋"/>
                <w:color w:val="FF0000"/>
                <w:sz w:val="28"/>
                <w:szCs w:val="28"/>
              </w:rPr>
              <w:t>海门数字人大系统</w:t>
            </w:r>
          </w:p>
        </w:tc>
        <w:tc>
          <w:tcPr>
            <w:tcW w:w="2091" w:type="dxa"/>
            <w:vAlign w:val="center"/>
          </w:tcPr>
          <w:p w14:paraId="29B70499">
            <w:pPr>
              <w:adjustRightInd w:val="0"/>
              <w:snapToGrid w:val="0"/>
              <w:spacing w:line="480" w:lineRule="exact"/>
              <w:jc w:val="center"/>
              <w:rPr>
                <w:rFonts w:hint="eastAsia" w:ascii="仿宋" w:hAnsi="仿宋" w:eastAsia="仿宋"/>
                <w:sz w:val="28"/>
                <w:szCs w:val="28"/>
              </w:rPr>
            </w:pPr>
            <w:r>
              <w:rPr>
                <w:rFonts w:hint="eastAsia" w:ascii="仿宋" w:hAnsi="仿宋" w:eastAsia="仿宋"/>
                <w:color w:val="FF0000"/>
                <w:sz w:val="28"/>
                <w:szCs w:val="28"/>
              </w:rPr>
              <w:t>三级</w:t>
            </w:r>
          </w:p>
        </w:tc>
        <w:tc>
          <w:tcPr>
            <w:tcW w:w="1582" w:type="dxa"/>
            <w:vAlign w:val="center"/>
          </w:tcPr>
          <w:p w14:paraId="2123301D">
            <w:pPr>
              <w:adjustRightInd w:val="0"/>
              <w:snapToGrid w:val="0"/>
              <w:spacing w:line="480" w:lineRule="exact"/>
              <w:jc w:val="center"/>
              <w:rPr>
                <w:rFonts w:ascii="方正仿宋_GBK" w:eastAsia="方正仿宋_GBK"/>
                <w:sz w:val="28"/>
                <w:szCs w:val="28"/>
              </w:rPr>
            </w:pPr>
            <w:r>
              <w:rPr>
                <w:rFonts w:hint="eastAsia" w:ascii="仿宋" w:hAnsi="仿宋" w:eastAsia="仿宋"/>
                <w:color w:val="FF0000"/>
                <w:sz w:val="28"/>
                <w:szCs w:val="28"/>
              </w:rPr>
              <w:t>5万元</w:t>
            </w:r>
          </w:p>
        </w:tc>
      </w:tr>
    </w:tbl>
    <w:p w14:paraId="3A18A081">
      <w:pPr>
        <w:widowControl/>
        <w:shd w:val="clear" w:color="auto" w:fill="FFFFFF"/>
        <w:snapToGrid w:val="0"/>
        <w:spacing w:line="360" w:lineRule="auto"/>
        <w:ind w:firstLine="555"/>
        <w:jc w:val="left"/>
        <w:rPr>
          <w:rFonts w:hint="eastAsia" w:ascii="仿宋" w:hAnsi="仿宋" w:eastAsia="仿宋" w:cs="宋体"/>
          <w:b/>
          <w:bCs/>
          <w:kern w:val="0"/>
          <w:sz w:val="29"/>
          <w:szCs w:val="29"/>
        </w:rPr>
      </w:pPr>
    </w:p>
    <w:p w14:paraId="5952D397">
      <w:pPr>
        <w:widowControl/>
        <w:shd w:val="clear" w:color="auto" w:fill="FFFFFF"/>
        <w:snapToGrid w:val="0"/>
        <w:spacing w:line="360" w:lineRule="auto"/>
        <w:ind w:firstLine="555"/>
        <w:jc w:val="left"/>
        <w:rPr>
          <w:rFonts w:hint="eastAsia" w:ascii="仿宋" w:hAnsi="仿宋" w:eastAsia="仿宋" w:cs="宋体"/>
          <w:b/>
          <w:bCs/>
          <w:kern w:val="0"/>
          <w:sz w:val="29"/>
          <w:szCs w:val="29"/>
        </w:rPr>
      </w:pPr>
      <w:r>
        <w:rPr>
          <w:rFonts w:hint="eastAsia" w:ascii="仿宋" w:hAnsi="仿宋" w:eastAsia="仿宋" w:cs="宋体"/>
          <w:b/>
          <w:bCs/>
          <w:kern w:val="0"/>
          <w:sz w:val="29"/>
          <w:szCs w:val="29"/>
        </w:rPr>
        <w:t>2</w:t>
      </w:r>
      <w:r>
        <w:rPr>
          <w:rFonts w:ascii="仿宋" w:hAnsi="仿宋" w:eastAsia="仿宋" w:cs="宋体"/>
          <w:b/>
          <w:bCs/>
          <w:kern w:val="0"/>
          <w:sz w:val="29"/>
          <w:szCs w:val="29"/>
        </w:rPr>
        <w:t>.</w:t>
      </w:r>
      <w:r>
        <w:rPr>
          <w:rFonts w:hint="eastAsia" w:ascii="仿宋" w:hAnsi="仿宋" w:eastAsia="仿宋" w:cs="宋体"/>
          <w:b/>
          <w:bCs/>
          <w:kern w:val="0"/>
          <w:sz w:val="29"/>
          <w:szCs w:val="29"/>
        </w:rPr>
        <w:t>测评内容</w:t>
      </w:r>
    </w:p>
    <w:p w14:paraId="0B6A6409">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根据国家对网络安全等级保护工作的相关法律和技术标准要求，结合本项目的系统保护等级开展实施与之相应的检查工作，检查内容应包括：</w:t>
      </w:r>
    </w:p>
    <w:p w14:paraId="687326C3">
      <w:pPr>
        <w:adjustRightInd w:val="0"/>
        <w:snapToGrid w:val="0"/>
        <w:spacing w:line="520" w:lineRule="exact"/>
        <w:ind w:firstLine="562" w:firstLineChars="200"/>
        <w:rPr>
          <w:rFonts w:hint="eastAsia" w:ascii="仿宋" w:hAnsi="仿宋" w:eastAsia="仿宋"/>
          <w:sz w:val="28"/>
          <w:szCs w:val="28"/>
        </w:rPr>
      </w:pPr>
      <w:r>
        <w:rPr>
          <w:rFonts w:hint="eastAsia" w:ascii="仿宋" w:hAnsi="仿宋" w:eastAsia="仿宋"/>
          <w:b/>
          <w:sz w:val="28"/>
          <w:szCs w:val="28"/>
        </w:rPr>
        <w:t>（1）安全技术测评指标-</w:t>
      </w:r>
      <w:r>
        <w:rPr>
          <w:rFonts w:hint="eastAsia" w:ascii="仿宋" w:hAnsi="仿宋" w:eastAsia="仿宋"/>
          <w:sz w:val="28"/>
          <w:szCs w:val="28"/>
        </w:rPr>
        <w:t>包括安全物理环境、安全区域边界、安全通信网络、安全计算环境和安全管理中心五个方面的安全测评：</w:t>
      </w:r>
    </w:p>
    <w:p w14:paraId="2AA4C08F">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1.安全物理环境：物理位置选择、物理访问控制、防盗窃和防破坏、防雷击、防火、防水和防潮、防静电、温湿度控制、电力供应、电磁防护。</w:t>
      </w:r>
    </w:p>
    <w:p w14:paraId="60F059C8">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2.安全区域边界：网络架构、通信传输、可信验证。</w:t>
      </w:r>
    </w:p>
    <w:p w14:paraId="772CEBA4">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3.安全通信网络：边界防护、访问控制、入侵防范、恶意代码和垃圾邮件防范、安全审计、可信验证。</w:t>
      </w:r>
    </w:p>
    <w:p w14:paraId="19F6BC80">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4.安全计算环境：身份鉴别、访问控制、安全审计、入侵防范、恶意代码防范、可信验证、数据完整性、数据保密性、 数据备份恢复、剩余信息保护、个人信息保护。</w:t>
      </w:r>
    </w:p>
    <w:p w14:paraId="23990D4D">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5.安全管理中心：系统管理、审计管理、安全管理、集中管控。</w:t>
      </w:r>
    </w:p>
    <w:p w14:paraId="2EE7A4C3">
      <w:pPr>
        <w:adjustRightInd w:val="0"/>
        <w:snapToGrid w:val="0"/>
        <w:spacing w:line="520" w:lineRule="exact"/>
        <w:ind w:firstLine="562" w:firstLineChars="200"/>
        <w:rPr>
          <w:rFonts w:hint="eastAsia" w:ascii="仿宋" w:hAnsi="仿宋" w:eastAsia="仿宋"/>
          <w:sz w:val="28"/>
          <w:szCs w:val="28"/>
        </w:rPr>
      </w:pPr>
      <w:r>
        <w:rPr>
          <w:rFonts w:hint="eastAsia" w:ascii="仿宋" w:hAnsi="仿宋" w:eastAsia="仿宋"/>
          <w:b/>
          <w:sz w:val="28"/>
          <w:szCs w:val="28"/>
        </w:rPr>
        <w:t>（2）安全管理测评指标-</w:t>
      </w:r>
      <w:r>
        <w:rPr>
          <w:rFonts w:hint="eastAsia" w:ascii="仿宋" w:hAnsi="仿宋" w:eastAsia="仿宋"/>
          <w:sz w:val="28"/>
          <w:szCs w:val="28"/>
        </w:rPr>
        <w:t>安全管理制度、安全管理机构、安全管理人员、安全建设管理和安全运维管理五个方面的安全控制测评：</w:t>
      </w:r>
    </w:p>
    <w:p w14:paraId="0BE331F5">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1.安全管理制度：安全策略、管理制度、制定和发布、评审和修订。</w:t>
      </w:r>
    </w:p>
    <w:p w14:paraId="7DEDCCD3">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2.安全管理机构：岗位设置、人员配备、授权和审批、沟通和合作、审核和检查。</w:t>
      </w:r>
    </w:p>
    <w:p w14:paraId="48E6B554">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3.安全管理人员：人员录用、人员离岗、安全意识教育和培训、外部人员访问管理。</w:t>
      </w:r>
    </w:p>
    <w:p w14:paraId="01D2BC21">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4.安全建设管理：定级和备案、安全方案设计、产品采购和使用、自行软件开发、外包软件开发、工程实施、测试验收、系统交付、等级测评、服务供应商选择。</w:t>
      </w:r>
    </w:p>
    <w:p w14:paraId="1CE3EA40">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5.安全运维管理：环境管理、资产管理、介质管理、设备维护管理、漏洞和风险管理、网络和系统安全管理、恶意代码防范管理、配置管理、密码管理、变更管理、备份与恢复管理、安全事件处置、应急预案管理、外包运维管理。</w:t>
      </w:r>
    </w:p>
    <w:p w14:paraId="7AFDDD41">
      <w:pPr>
        <w:adjustRightInd w:val="0"/>
        <w:snapToGrid w:val="0"/>
        <w:spacing w:line="520" w:lineRule="exact"/>
        <w:ind w:firstLine="562" w:firstLineChars="200"/>
        <w:rPr>
          <w:rFonts w:hint="eastAsia" w:ascii="仿宋" w:hAnsi="仿宋" w:eastAsia="仿宋"/>
          <w:b/>
          <w:sz w:val="28"/>
          <w:szCs w:val="28"/>
        </w:rPr>
      </w:pPr>
      <w:r>
        <w:rPr>
          <w:rFonts w:hint="eastAsia" w:ascii="仿宋" w:hAnsi="仿宋" w:eastAsia="仿宋"/>
          <w:b/>
          <w:sz w:val="28"/>
          <w:szCs w:val="28"/>
        </w:rPr>
        <w:t>3</w:t>
      </w:r>
      <w:r>
        <w:rPr>
          <w:rFonts w:ascii="仿宋" w:hAnsi="仿宋" w:eastAsia="仿宋"/>
          <w:b/>
          <w:sz w:val="28"/>
          <w:szCs w:val="28"/>
        </w:rPr>
        <w:t>.</w:t>
      </w:r>
      <w:r>
        <w:rPr>
          <w:rFonts w:hint="eastAsia" w:ascii="仿宋" w:hAnsi="仿宋" w:eastAsia="仿宋"/>
          <w:b/>
          <w:sz w:val="28"/>
          <w:szCs w:val="28"/>
        </w:rPr>
        <w:t>测评原则</w:t>
      </w:r>
    </w:p>
    <w:p w14:paraId="7880237B">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1.客观性和公正性原则：</w:t>
      </w:r>
    </w:p>
    <w:p w14:paraId="498BA1AA">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测评人员应当没有偏见，在最小主观判断情形下，按照评估双方相互认可的评估方案，基于明确定义的测评方式和解释，实施评估活动。</w:t>
      </w:r>
    </w:p>
    <w:p w14:paraId="109CA69E">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2.可重复性和可再现性原则：</w:t>
      </w:r>
    </w:p>
    <w:p w14:paraId="0DCBCFE3">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依照同样的要求，使用同样的评估方式，对每个评估实施过程的重复执行应该得到同样的结果。可再现性和可重复性的区别在于，前者与不同评估者评估结果的一致性有关，后者与同一评估者评估结果的一致性有关。</w:t>
      </w:r>
    </w:p>
    <w:p w14:paraId="15EFB00C">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3.连续性原则：</w:t>
      </w:r>
    </w:p>
    <w:p w14:paraId="19035D4F">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确保在高速变化的信息安全环境中，在有效的服务期间内，保证采购方风险评估结论的准确性和及时性，对于采购方单位新增设的信息资产和服务，或新建立的信息化项目，进行局部系统的重新评估。从经济上，降低了采购方单位的成本，从信息安全性上，保证信息安全测评的动态稳定性。</w:t>
      </w:r>
    </w:p>
    <w:p w14:paraId="4008C5A0">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4.扩展性原则：</w:t>
      </w:r>
    </w:p>
    <w:p w14:paraId="50EEA0D5">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在评估过程结束后，信息安全测评过程要保持扩展性，从扩展的属性上进一步加强测评结束后采购方的安全管理有效性和可用性。</w:t>
      </w:r>
    </w:p>
    <w:p w14:paraId="2A922CEB">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5.保密原则：</w:t>
      </w:r>
    </w:p>
    <w:p w14:paraId="00CAE7E8">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在测评过程中，需严格遵循保密原则，双方签订保密协议，对服务过程中涉及到的任何用户信息未经允许不向其他任何第三方泄漏，以及不得利用这些信息损害采购方利益。</w:t>
      </w:r>
    </w:p>
    <w:p w14:paraId="4F2A6E43">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6.互动原则：</w:t>
      </w:r>
    </w:p>
    <w:p w14:paraId="053C13F2">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在整个测评过程中，强调采购方的互动参与，每个阶段都能够及时根据采购方的要求和实际情况对测评的内容、方式做出相关调整，进而更好的进行风险评估工作。</w:t>
      </w:r>
    </w:p>
    <w:p w14:paraId="717D2BDF">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7.最小影响原则：</w:t>
      </w:r>
    </w:p>
    <w:p w14:paraId="6AE27E62">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测评工作应该尽可能小地影响系统和网络的正常运行，不能对业务的正常运行产生明显的影响（包括系统性能明显下降、网络阻塞、服务中断等），如无法避免，则应做出说明。</w:t>
      </w:r>
    </w:p>
    <w:p w14:paraId="5F26D9AB">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8.规范性原则：</w:t>
      </w:r>
    </w:p>
    <w:p w14:paraId="67ED6867">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信息安全等级保护测评服务的实施必须由专业的测评服务人员依照规范的操作流程进行，对操作过程和结果要有相应的记录，并提供完整的服务报告。</w:t>
      </w:r>
    </w:p>
    <w:p w14:paraId="5B6BEFAF">
      <w:pPr>
        <w:adjustRightInd w:val="0"/>
        <w:snapToGrid w:val="0"/>
        <w:spacing w:line="520" w:lineRule="exact"/>
        <w:ind w:firstLine="560" w:firstLineChars="200"/>
        <w:rPr>
          <w:rFonts w:hint="eastAsia" w:ascii="仿宋" w:hAnsi="仿宋" w:eastAsia="仿宋"/>
          <w:sz w:val="28"/>
          <w:szCs w:val="28"/>
        </w:rPr>
      </w:pPr>
      <w:r>
        <w:rPr>
          <w:rFonts w:ascii="仿宋" w:hAnsi="仿宋" w:eastAsia="仿宋"/>
          <w:sz w:val="28"/>
          <w:szCs w:val="28"/>
        </w:rPr>
        <w:t>3.</w:t>
      </w:r>
      <w:r>
        <w:rPr>
          <w:rFonts w:hint="eastAsia" w:ascii="仿宋" w:hAnsi="仿宋" w:eastAsia="仿宋"/>
          <w:sz w:val="28"/>
          <w:szCs w:val="28"/>
        </w:rPr>
        <w:t>9.质量保障原则：</w:t>
      </w:r>
    </w:p>
    <w:p w14:paraId="34675C48">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sz w:val="28"/>
          <w:szCs w:val="28"/>
        </w:rPr>
        <w:t>在整个测评过程中，须特别重视项目质量管理。项目的实施将严格按照项目实施方案和流程进行，并由项目协调小组从中监督，控制项目的进度和质量。</w:t>
      </w:r>
    </w:p>
    <w:p w14:paraId="5264208C">
      <w:pPr>
        <w:widowControl/>
        <w:adjustRightInd w:val="0"/>
        <w:snapToGrid w:val="0"/>
        <w:spacing w:line="520" w:lineRule="exact"/>
        <w:ind w:firstLine="562" w:firstLineChars="200"/>
        <w:jc w:val="left"/>
        <w:rPr>
          <w:rFonts w:hint="eastAsia" w:ascii="仿宋" w:hAnsi="仿宋" w:eastAsia="仿宋" w:cs="宋体"/>
          <w:b/>
          <w:kern w:val="0"/>
          <w:sz w:val="28"/>
          <w:szCs w:val="28"/>
        </w:rPr>
      </w:pPr>
      <w:r>
        <w:rPr>
          <w:rFonts w:hint="eastAsia" w:ascii="仿宋" w:hAnsi="仿宋" w:eastAsia="仿宋" w:cs="宋体"/>
          <w:b/>
          <w:kern w:val="0"/>
          <w:sz w:val="28"/>
          <w:szCs w:val="28"/>
        </w:rPr>
        <w:t>4.需执行的国家相关标准、行业标准、地方标准或者其他标准、规范</w:t>
      </w:r>
    </w:p>
    <w:p w14:paraId="67A82954">
      <w:pPr>
        <w:widowControl/>
        <w:adjustRightInd w:val="0"/>
        <w:snapToGrid w:val="0"/>
        <w:spacing w:line="520" w:lineRule="exact"/>
        <w:ind w:firstLine="560" w:firstLineChars="200"/>
        <w:jc w:val="left"/>
        <w:rPr>
          <w:rFonts w:hint="eastAsia" w:ascii="仿宋" w:hAnsi="仿宋" w:eastAsia="仿宋"/>
          <w:sz w:val="28"/>
          <w:szCs w:val="28"/>
        </w:rPr>
      </w:pPr>
      <w:r>
        <w:rPr>
          <w:rFonts w:ascii="仿宋" w:hAnsi="仿宋" w:eastAsia="仿宋"/>
          <w:sz w:val="28"/>
          <w:szCs w:val="28"/>
        </w:rPr>
        <w:t>《</w:t>
      </w:r>
      <w:r>
        <w:rPr>
          <w:rFonts w:hint="eastAsia" w:ascii="仿宋" w:hAnsi="仿宋" w:eastAsia="仿宋"/>
          <w:sz w:val="28"/>
          <w:szCs w:val="28"/>
        </w:rPr>
        <w:t>中华人民共和国网络安全法</w:t>
      </w:r>
      <w:r>
        <w:rPr>
          <w:rFonts w:ascii="仿宋" w:hAnsi="仿宋" w:eastAsia="仿宋"/>
          <w:sz w:val="28"/>
          <w:szCs w:val="28"/>
        </w:rPr>
        <w:t>》；</w:t>
      </w:r>
    </w:p>
    <w:p w14:paraId="27857F65">
      <w:pPr>
        <w:adjustRightInd w:val="0"/>
        <w:snapToGrid w:val="0"/>
        <w:spacing w:line="520" w:lineRule="exact"/>
        <w:ind w:firstLine="560" w:firstLineChars="200"/>
        <w:rPr>
          <w:rFonts w:hint="eastAsia" w:ascii="仿宋" w:hAnsi="仿宋" w:eastAsia="仿宋"/>
          <w:bCs/>
          <w:sz w:val="28"/>
          <w:szCs w:val="28"/>
        </w:rPr>
      </w:pPr>
      <w:r>
        <w:rPr>
          <w:rFonts w:hint="eastAsia" w:ascii="仿宋" w:hAnsi="仿宋" w:eastAsia="仿宋"/>
          <w:sz w:val="28"/>
          <w:szCs w:val="28"/>
        </w:rPr>
        <w:t>《</w:t>
      </w:r>
      <w:r>
        <w:rPr>
          <w:rFonts w:hint="eastAsia" w:ascii="仿宋" w:hAnsi="仿宋" w:eastAsia="仿宋"/>
          <w:bCs/>
          <w:sz w:val="28"/>
          <w:szCs w:val="28"/>
        </w:rPr>
        <w:t>GB/T22239-2019信息安全技术 网络安全等级保护基本要求》；</w:t>
      </w:r>
    </w:p>
    <w:p w14:paraId="213AB7D2">
      <w:pPr>
        <w:adjustRightInd w:val="0"/>
        <w:snapToGrid w:val="0"/>
        <w:spacing w:line="520" w:lineRule="exact"/>
        <w:ind w:firstLine="560" w:firstLineChars="200"/>
        <w:rPr>
          <w:rFonts w:hint="eastAsia" w:ascii="仿宋" w:hAnsi="仿宋" w:eastAsia="仿宋"/>
          <w:bCs/>
          <w:sz w:val="28"/>
          <w:szCs w:val="28"/>
        </w:rPr>
      </w:pPr>
      <w:r>
        <w:rPr>
          <w:rFonts w:hint="eastAsia" w:ascii="仿宋" w:hAnsi="仿宋" w:eastAsia="仿宋"/>
          <w:bCs/>
          <w:sz w:val="28"/>
          <w:szCs w:val="28"/>
        </w:rPr>
        <w:t>《GB/T28448-2019 信息安全技术 网络安全等级保护测评要求》；</w:t>
      </w:r>
    </w:p>
    <w:p w14:paraId="16337E82">
      <w:pPr>
        <w:adjustRightInd w:val="0"/>
        <w:snapToGrid w:val="0"/>
        <w:spacing w:line="520" w:lineRule="exact"/>
        <w:ind w:firstLine="560" w:firstLineChars="200"/>
        <w:rPr>
          <w:rFonts w:hint="eastAsia" w:ascii="仿宋" w:hAnsi="仿宋" w:eastAsia="仿宋"/>
          <w:bCs/>
          <w:sz w:val="28"/>
          <w:szCs w:val="28"/>
        </w:rPr>
      </w:pPr>
      <w:r>
        <w:rPr>
          <w:rFonts w:hint="eastAsia" w:ascii="仿宋" w:hAnsi="仿宋" w:eastAsia="仿宋"/>
          <w:bCs/>
          <w:sz w:val="28"/>
          <w:szCs w:val="28"/>
        </w:rPr>
        <w:t>《GB/T 28449-2018 信息安全技术 网络安全等级保护测评过程指南》；</w:t>
      </w:r>
    </w:p>
    <w:p w14:paraId="0D66A66C">
      <w:pPr>
        <w:adjustRightInd w:val="0"/>
        <w:snapToGrid w:val="0"/>
        <w:spacing w:line="520" w:lineRule="exact"/>
        <w:ind w:firstLine="560" w:firstLineChars="200"/>
        <w:rPr>
          <w:rFonts w:hint="eastAsia" w:ascii="仿宋" w:hAnsi="仿宋" w:eastAsia="仿宋"/>
          <w:bCs/>
          <w:sz w:val="28"/>
          <w:szCs w:val="28"/>
        </w:rPr>
      </w:pPr>
      <w:r>
        <w:rPr>
          <w:rFonts w:hint="eastAsia" w:ascii="仿宋" w:hAnsi="仿宋" w:eastAsia="仿宋"/>
          <w:bCs/>
          <w:sz w:val="28"/>
          <w:szCs w:val="28"/>
        </w:rPr>
        <w:t>《GB/T 25058-2019 信息安全技术 网络安全等级保护实施指南》。</w:t>
      </w:r>
    </w:p>
    <w:p w14:paraId="3E2031D8">
      <w:pPr>
        <w:adjustRightInd w:val="0"/>
        <w:snapToGrid w:val="0"/>
        <w:spacing w:line="520" w:lineRule="exact"/>
        <w:ind w:firstLine="640" w:firstLineChars="200"/>
        <w:rPr>
          <w:rFonts w:hint="eastAsia" w:ascii="黑体" w:hAnsi="黑体" w:eastAsia="黑体"/>
          <w:sz w:val="32"/>
          <w:szCs w:val="32"/>
        </w:rPr>
      </w:pPr>
      <w:r>
        <w:rPr>
          <w:rFonts w:hint="eastAsia" w:ascii="黑体" w:hAnsi="黑体" w:eastAsia="黑体"/>
          <w:sz w:val="32"/>
          <w:szCs w:val="32"/>
        </w:rPr>
        <w:t>三、商务要求</w:t>
      </w:r>
    </w:p>
    <w:p w14:paraId="6351761F">
      <w:pPr>
        <w:adjustRightInd w:val="0"/>
        <w:snapToGrid w:val="0"/>
        <w:spacing w:line="520" w:lineRule="exact"/>
        <w:ind w:firstLine="582" w:firstLineChars="200"/>
        <w:rPr>
          <w:rFonts w:hint="eastAsia" w:ascii="仿宋" w:hAnsi="仿宋" w:eastAsia="仿宋" w:cs="宋体"/>
          <w:b/>
          <w:kern w:val="0"/>
          <w:sz w:val="29"/>
          <w:szCs w:val="29"/>
        </w:rPr>
      </w:pPr>
      <w:r>
        <w:rPr>
          <w:rFonts w:ascii="仿宋" w:hAnsi="仿宋" w:eastAsia="仿宋" w:cs="宋体"/>
          <w:b/>
          <w:kern w:val="0"/>
          <w:sz w:val="29"/>
          <w:szCs w:val="29"/>
        </w:rPr>
        <w:t>1</w:t>
      </w:r>
      <w:r>
        <w:rPr>
          <w:rFonts w:hint="eastAsia" w:ascii="仿宋" w:hAnsi="仿宋" w:eastAsia="仿宋" w:cs="宋体"/>
          <w:b/>
          <w:kern w:val="0"/>
          <w:sz w:val="29"/>
          <w:szCs w:val="29"/>
        </w:rPr>
        <w:t>.交货时间、地点</w:t>
      </w:r>
    </w:p>
    <w:p w14:paraId="53A7D0A3">
      <w:pPr>
        <w:adjustRightInd w:val="0"/>
        <w:snapToGrid w:val="0"/>
        <w:spacing w:line="520" w:lineRule="exact"/>
        <w:ind w:firstLine="580" w:firstLineChars="200"/>
        <w:rPr>
          <w:rFonts w:hint="eastAsia" w:ascii="仿宋" w:hAnsi="仿宋" w:eastAsia="仿宋"/>
          <w:b/>
          <w:sz w:val="28"/>
          <w:szCs w:val="28"/>
        </w:rPr>
      </w:pPr>
      <w:r>
        <w:rPr>
          <w:rFonts w:hint="eastAsia" w:ascii="仿宋" w:hAnsi="仿宋" w:eastAsia="仿宋" w:cs="宋体"/>
          <w:kern w:val="0"/>
          <w:sz w:val="29"/>
          <w:szCs w:val="29"/>
        </w:rPr>
        <w:t>网络安全等级保护测评服务，</w:t>
      </w:r>
      <w:r>
        <w:rPr>
          <w:rFonts w:hint="eastAsia" w:ascii="仿宋" w:hAnsi="仿宋" w:eastAsia="仿宋"/>
          <w:sz w:val="28"/>
          <w:szCs w:val="28"/>
        </w:rPr>
        <w:t>按照被测单位要求，合同签订完毕一周内启动测评工作，合同签订后30日内完成等保测评出具加盖等级保护专用章的测评报告，</w:t>
      </w:r>
      <w:r>
        <w:rPr>
          <w:rFonts w:hint="eastAsia" w:ascii="仿宋" w:hAnsi="仿宋" w:eastAsia="仿宋"/>
          <w:b/>
          <w:sz w:val="28"/>
          <w:szCs w:val="28"/>
        </w:rPr>
        <w:t>并完成在所属辖区公安局网安支队备案。</w:t>
      </w:r>
    </w:p>
    <w:p w14:paraId="7D441CB0">
      <w:pPr>
        <w:adjustRightInd w:val="0"/>
        <w:snapToGrid w:val="0"/>
        <w:spacing w:line="520" w:lineRule="exact"/>
        <w:ind w:firstLine="562" w:firstLineChars="200"/>
        <w:rPr>
          <w:rFonts w:hint="eastAsia" w:ascii="仿宋" w:hAnsi="仿宋" w:eastAsia="仿宋"/>
          <w:b/>
          <w:sz w:val="28"/>
          <w:szCs w:val="28"/>
        </w:rPr>
      </w:pPr>
      <w:r>
        <w:rPr>
          <w:rFonts w:ascii="仿宋" w:hAnsi="仿宋" w:eastAsia="仿宋"/>
          <w:b/>
          <w:sz w:val="28"/>
          <w:szCs w:val="28"/>
        </w:rPr>
        <w:t>2</w:t>
      </w:r>
      <w:r>
        <w:rPr>
          <w:rFonts w:hint="eastAsia" w:ascii="仿宋" w:hAnsi="仿宋" w:eastAsia="仿宋"/>
          <w:b/>
          <w:sz w:val="28"/>
          <w:szCs w:val="28"/>
        </w:rPr>
        <w:t>.测评驻场人员要求</w:t>
      </w:r>
    </w:p>
    <w:p w14:paraId="7A5FB9AB">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bCs/>
          <w:sz w:val="28"/>
          <w:szCs w:val="28"/>
        </w:rPr>
        <w:t>本次</w:t>
      </w:r>
      <w:r>
        <w:rPr>
          <w:rFonts w:hint="eastAsia" w:ascii="仿宋" w:hAnsi="仿宋" w:eastAsia="仿宋"/>
          <w:sz w:val="28"/>
          <w:szCs w:val="28"/>
        </w:rPr>
        <w:t>等保测评项目不得转包或者分包，所有驻场测评师必须是中标公司自己的正式员工,所有驻场测评师必须持证上岗，响应文件中应提供项目组成员名单、社保主管部门出具的响应单位为其缴纳社保的证明、相关证书复印件等，未经采购方同意，项目组成员不得更改。</w:t>
      </w:r>
    </w:p>
    <w:p w14:paraId="7E79393E">
      <w:pPr>
        <w:adjustRightInd w:val="0"/>
        <w:snapToGrid w:val="0"/>
        <w:spacing w:line="520" w:lineRule="exact"/>
        <w:ind w:firstLine="562" w:firstLineChars="200"/>
        <w:rPr>
          <w:rFonts w:hint="eastAsia" w:ascii="仿宋" w:hAnsi="仿宋" w:eastAsia="仿宋"/>
          <w:b/>
          <w:sz w:val="28"/>
          <w:szCs w:val="28"/>
        </w:rPr>
      </w:pPr>
      <w:r>
        <w:rPr>
          <w:rFonts w:ascii="仿宋" w:hAnsi="仿宋" w:eastAsia="仿宋"/>
          <w:b/>
          <w:sz w:val="28"/>
          <w:szCs w:val="28"/>
        </w:rPr>
        <w:t>3</w:t>
      </w:r>
      <w:r>
        <w:rPr>
          <w:rFonts w:hint="eastAsia" w:ascii="仿宋" w:hAnsi="仿宋" w:eastAsia="仿宋"/>
          <w:b/>
          <w:sz w:val="28"/>
          <w:szCs w:val="28"/>
        </w:rPr>
        <w:t>.付款方式</w:t>
      </w:r>
    </w:p>
    <w:p w14:paraId="095257DD">
      <w:pPr>
        <w:adjustRightInd w:val="0"/>
        <w:snapToGrid w:val="0"/>
        <w:spacing w:line="520" w:lineRule="exact"/>
        <w:ind w:firstLine="560" w:firstLineChars="200"/>
        <w:rPr>
          <w:rFonts w:hint="eastAsia" w:ascii="仿宋" w:hAnsi="仿宋" w:eastAsia="仿宋"/>
          <w:sz w:val="28"/>
          <w:szCs w:val="28"/>
        </w:rPr>
      </w:pPr>
      <w:r>
        <w:rPr>
          <w:rFonts w:hint="eastAsia" w:ascii="仿宋" w:hAnsi="仿宋" w:eastAsia="仿宋"/>
          <w:color w:val="FF0000"/>
          <w:sz w:val="28"/>
          <w:szCs w:val="28"/>
        </w:rPr>
        <w:t>项目实施完成并验收合格后一次性付清。</w:t>
      </w:r>
    </w:p>
    <w:p w14:paraId="5073AEF9">
      <w:pPr>
        <w:autoSpaceDE w:val="0"/>
        <w:autoSpaceDN w:val="0"/>
        <w:adjustRightInd w:val="0"/>
        <w:snapToGrid w:val="0"/>
        <w:spacing w:line="300" w:lineRule="auto"/>
        <w:jc w:val="center"/>
        <w:rPr>
          <w:rFonts w:ascii="仿宋_GB2312" w:eastAsia="仿宋_GB2312"/>
          <w:b/>
          <w:bCs/>
          <w:sz w:val="36"/>
          <w:szCs w:val="36"/>
          <w:lang w:val="zh-CN"/>
        </w:rPr>
      </w:pPr>
      <w:r>
        <w:rPr>
          <w:rFonts w:ascii="仿宋_GB2312" w:eastAsia="仿宋_GB2312"/>
          <w:b/>
          <w:bCs/>
          <w:sz w:val="36"/>
          <w:szCs w:val="36"/>
          <w:lang w:val="zh-CN"/>
        </w:rPr>
        <w:br w:type="page"/>
      </w:r>
      <w:r>
        <w:rPr>
          <w:rFonts w:hint="eastAsia" w:ascii="仿宋_GB2312" w:eastAsia="仿宋_GB2312"/>
          <w:b/>
          <w:bCs/>
          <w:sz w:val="36"/>
          <w:szCs w:val="36"/>
          <w:lang w:val="zh-CN"/>
        </w:rPr>
        <w:t>第四部分  评审程序和内容</w:t>
      </w:r>
    </w:p>
    <w:p w14:paraId="47B9ED72">
      <w:pPr>
        <w:autoSpaceDE w:val="0"/>
        <w:autoSpaceDN w:val="0"/>
        <w:adjustRightInd w:val="0"/>
        <w:snapToGrid w:val="0"/>
        <w:spacing w:line="300" w:lineRule="auto"/>
        <w:jc w:val="center"/>
        <w:rPr>
          <w:rFonts w:ascii="仿宋_GB2312" w:eastAsia="仿宋_GB2312"/>
          <w:b/>
          <w:bCs/>
          <w:sz w:val="36"/>
          <w:szCs w:val="36"/>
          <w:lang w:val="zh-CN"/>
        </w:rPr>
      </w:pPr>
    </w:p>
    <w:p w14:paraId="5C9D8B36">
      <w:pPr>
        <w:autoSpaceDE w:val="0"/>
        <w:autoSpaceDN w:val="0"/>
        <w:adjustRightInd w:val="0"/>
        <w:snapToGrid w:val="0"/>
        <w:spacing w:line="300" w:lineRule="auto"/>
        <w:ind w:right="210" w:firstLine="560"/>
        <w:rPr>
          <w:rFonts w:ascii="仿宋_GB2312" w:eastAsia="仿宋_GB2312"/>
          <w:b/>
          <w:sz w:val="28"/>
          <w:szCs w:val="28"/>
          <w:lang w:val="zh-CN"/>
        </w:rPr>
      </w:pPr>
      <w:r>
        <w:rPr>
          <w:rFonts w:hint="eastAsia" w:ascii="仿宋_GB2312" w:eastAsia="仿宋_GB2312"/>
          <w:b/>
          <w:sz w:val="28"/>
          <w:szCs w:val="28"/>
          <w:lang w:val="zh-CN"/>
        </w:rPr>
        <w:t>一、采购单位组织磋商活动</w:t>
      </w:r>
    </w:p>
    <w:p w14:paraId="578FB62A">
      <w:pPr>
        <w:pStyle w:val="48"/>
        <w:snapToGrid w:val="0"/>
        <w:spacing w:line="300" w:lineRule="auto"/>
        <w:ind w:firstLine="562" w:firstLineChars="200"/>
        <w:contextualSpacing/>
        <w:rPr>
          <w:rFonts w:hint="eastAsia" w:cs="宋体"/>
          <w:kern w:val="0"/>
          <w:sz w:val="28"/>
          <w:lang w:val="zh-CN"/>
        </w:rPr>
      </w:pPr>
      <w:r>
        <w:rPr>
          <w:rFonts w:hint="eastAsia" w:cs="宋体"/>
          <w:b/>
          <w:kern w:val="0"/>
          <w:sz w:val="28"/>
          <w:lang w:val="zh-CN"/>
        </w:rPr>
        <w:t>1.成立竞争性磋商小组。</w:t>
      </w:r>
      <w:r>
        <w:rPr>
          <w:rFonts w:cs="宋体"/>
          <w:kern w:val="0"/>
          <w:sz w:val="28"/>
          <w:lang w:val="zh-CN"/>
        </w:rPr>
        <w:t>竞争性磋商小组由采购人代表和评审专家共3人以上单数组成，其中评审专家人数不得少于竞争性磋商小组成员总数的2/3。</w:t>
      </w:r>
    </w:p>
    <w:p w14:paraId="233DA294">
      <w:pPr>
        <w:spacing w:line="520" w:lineRule="exact"/>
        <w:ind w:firstLine="562" w:firstLineChars="200"/>
        <w:rPr>
          <w:rFonts w:hint="eastAsia" w:ascii="仿宋_GB2312" w:hAnsi="宋体" w:eastAsia="仿宋_GB2312" w:cs="宋体"/>
          <w:b/>
          <w:kern w:val="0"/>
          <w:sz w:val="28"/>
          <w:szCs w:val="28"/>
          <w:lang w:val="zh-CN"/>
        </w:rPr>
      </w:pPr>
      <w:r>
        <w:rPr>
          <w:rFonts w:hint="eastAsia" w:ascii="仿宋_GB2312" w:hAnsi="宋体" w:eastAsia="仿宋_GB2312" w:cs="宋体"/>
          <w:b/>
          <w:kern w:val="0"/>
          <w:sz w:val="28"/>
          <w:szCs w:val="28"/>
          <w:lang w:val="zh-CN"/>
        </w:rPr>
        <w:t>2.竞争性磋商小组的职责：</w:t>
      </w:r>
    </w:p>
    <w:p w14:paraId="1ADDE5E7">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评审专家应当遵守评审工作纪律，不得泄露评审情况和评审中获悉的商业秘密。</w:t>
      </w:r>
    </w:p>
    <w:p w14:paraId="133B879A">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磋商小组在评审过程中发现供应商有行贿、提供虚假材料或者串通等违法行为的，应当及时向财政部门报告。</w:t>
      </w:r>
    </w:p>
    <w:p w14:paraId="2BD8BE0A">
      <w:pPr>
        <w:pStyle w:val="48"/>
        <w:snapToGrid w:val="0"/>
        <w:spacing w:line="300" w:lineRule="auto"/>
        <w:ind w:firstLine="560" w:firstLineChars="200"/>
        <w:contextualSpacing/>
        <w:rPr>
          <w:rFonts w:hint="eastAsia" w:cs="宋体"/>
          <w:kern w:val="0"/>
          <w:sz w:val="28"/>
        </w:rPr>
      </w:pPr>
      <w:r>
        <w:rPr>
          <w:rFonts w:hint="eastAsia" w:cs="宋体"/>
          <w:kern w:val="0"/>
          <w:sz w:val="28"/>
          <w:lang w:val="zh-CN"/>
        </w:rPr>
        <w:t>评审专家在评审过程中受到非法干涉的，应当及时向财政、监察等部门举报。</w:t>
      </w:r>
    </w:p>
    <w:p w14:paraId="7687A512">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小组成员应当按照客观、公正、审慎的原则，根据磋商文件规定的评审程序、评审方法和评审标准进行独立评审。未实质性响应磋商文件的响应文件按无效响应处理，磋商小组应当告知提交响应文件的供应商。</w:t>
      </w:r>
    </w:p>
    <w:p w14:paraId="5F8F5186">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磋商文件内容违反国家有关强制性规定的，磋商小组应当停止评审并向采购人或者采购代理机构说明情况。</w:t>
      </w:r>
    </w:p>
    <w:p w14:paraId="3850CEBD">
      <w:pPr>
        <w:pStyle w:val="48"/>
        <w:snapToGrid w:val="0"/>
        <w:spacing w:line="300" w:lineRule="auto"/>
        <w:ind w:firstLine="562" w:firstLineChars="200"/>
        <w:contextualSpacing/>
        <w:rPr>
          <w:rFonts w:hint="eastAsia" w:cs="宋体"/>
          <w:b/>
          <w:kern w:val="0"/>
          <w:sz w:val="28"/>
          <w:lang w:val="zh-CN"/>
        </w:rPr>
      </w:pPr>
      <w:r>
        <w:rPr>
          <w:rFonts w:hint="eastAsia" w:cs="宋体"/>
          <w:b/>
          <w:kern w:val="0"/>
          <w:sz w:val="28"/>
          <w:lang w:val="zh-CN"/>
        </w:rPr>
        <w:t>3.竞争性磋商小组成员的义务：</w:t>
      </w:r>
    </w:p>
    <w:p w14:paraId="5A890A7C">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遵纪守法，客观、公正、廉洁地履行职责；根据采购文件的规定独立进行评审，对个人的评审意见承担法律责任；参与评审报告的起草；配合采购人、招标人答复供应商提出的质疑；配合财政部门的投诉处理和监督检查工作。</w:t>
      </w:r>
    </w:p>
    <w:p w14:paraId="446C082E">
      <w:pPr>
        <w:autoSpaceDE w:val="0"/>
        <w:autoSpaceDN w:val="0"/>
        <w:adjustRightInd w:val="0"/>
        <w:snapToGrid w:val="0"/>
        <w:spacing w:line="300" w:lineRule="auto"/>
        <w:ind w:right="210" w:firstLine="562" w:firstLineChars="200"/>
        <w:rPr>
          <w:rFonts w:hint="eastAsia" w:ascii="仿宋_GB2312" w:hAnsi="宋体" w:eastAsia="仿宋_GB2312"/>
          <w:b/>
          <w:sz w:val="28"/>
          <w:szCs w:val="28"/>
        </w:rPr>
      </w:pPr>
      <w:r>
        <w:rPr>
          <w:rFonts w:hint="eastAsia" w:ascii="仿宋_GB2312" w:hAnsi="宋体" w:eastAsia="仿宋_GB2312"/>
          <w:b/>
          <w:sz w:val="28"/>
          <w:szCs w:val="28"/>
        </w:rPr>
        <w:t>二、评审程序、内容</w:t>
      </w:r>
    </w:p>
    <w:p w14:paraId="424A86E6">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1.</w:t>
      </w:r>
      <w:r>
        <w:rPr>
          <w:rFonts w:cs="宋体"/>
          <w:kern w:val="0"/>
          <w:sz w:val="28"/>
          <w:lang w:val="zh-CN"/>
        </w:rPr>
        <w:t>磋商小组应当对响应文件进行评审，并根据磋商文件规定的程序、评定成交的标准等事项与实质性响应磋商文件要求的供应商进行磋商。未实质性响应磋商文件的响应文件按无效处理，磋商小组应当告知有关供应商。 </w:t>
      </w:r>
    </w:p>
    <w:p w14:paraId="23FED4AB">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A12380A">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01B91E55">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2.</w:t>
      </w:r>
      <w:r>
        <w:rPr>
          <w:rFonts w:cs="宋体"/>
          <w:kern w:val="0"/>
          <w:sz w:val="28"/>
          <w:lang w:val="zh-CN"/>
        </w:rPr>
        <w:t>磋商小组所有成员应当集中与单一供应商分别进行磋商，并给予所有参加磋商的供应商平等的磋商机会。</w:t>
      </w:r>
    </w:p>
    <w:p w14:paraId="2E13E797">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3.</w:t>
      </w:r>
      <w:r>
        <w:rPr>
          <w:rFonts w:cs="宋体"/>
          <w:kern w:val="0"/>
          <w:sz w:val="28"/>
          <w:lang w:val="zh-CN"/>
        </w:rPr>
        <w:t>在磋商过程中，磋商小组可以根据磋商文件和磋商情况实质性变动采购需求中的技术、服务要求以及合同草案条款，但不得变动磋商文件中的其他内容。实质性变动的内容，须经采购人代表确认。</w:t>
      </w:r>
    </w:p>
    <w:p w14:paraId="79F010A3">
      <w:pPr>
        <w:pStyle w:val="48"/>
        <w:snapToGrid w:val="0"/>
        <w:spacing w:line="300" w:lineRule="auto"/>
        <w:ind w:firstLine="560" w:firstLineChars="200"/>
        <w:contextualSpacing/>
        <w:rPr>
          <w:rFonts w:hint="eastAsia" w:cs="宋体"/>
          <w:kern w:val="0"/>
          <w:sz w:val="28"/>
          <w:lang w:val="zh-CN"/>
        </w:rPr>
      </w:pPr>
      <w:r>
        <w:rPr>
          <w:rFonts w:cs="宋体"/>
          <w:kern w:val="0"/>
          <w:sz w:val="28"/>
          <w:lang w:val="zh-CN"/>
        </w:rPr>
        <w:t>对磋商文件作出的实质性变动是磋商文件的有效组成部分，磋商小组应当及时以书面形式同时通知所有参加磋商的供应商。</w:t>
      </w:r>
    </w:p>
    <w:p w14:paraId="74F51EE8">
      <w:pPr>
        <w:pStyle w:val="48"/>
        <w:snapToGrid w:val="0"/>
        <w:spacing w:line="300" w:lineRule="auto"/>
        <w:ind w:firstLine="560" w:firstLineChars="200"/>
        <w:contextualSpacing/>
        <w:rPr>
          <w:rFonts w:hint="eastAsia" w:cs="宋体"/>
          <w:kern w:val="0"/>
          <w:sz w:val="28"/>
          <w:lang w:val="zh-CN"/>
        </w:rPr>
      </w:pPr>
      <w:r>
        <w:rPr>
          <w:rFonts w:cs="宋体"/>
          <w:kern w:val="0"/>
          <w:sz w:val="28"/>
          <w:lang w:val="zh-CN"/>
        </w:rPr>
        <w:t>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1D58EE4D">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4.</w:t>
      </w:r>
      <w:r>
        <w:rPr>
          <w:rFonts w:cs="宋体"/>
          <w:kern w:val="0"/>
          <w:sz w:val="28"/>
          <w:lang w:val="zh-CN"/>
        </w:rPr>
        <w:t>磋商文件能够详细列明采购标的的技术、服务要求的，磋商结束后，磋商小组应当要求所有</w:t>
      </w:r>
      <w:r>
        <w:rPr>
          <w:rFonts w:hint="eastAsia" w:cs="宋体"/>
          <w:kern w:val="0"/>
          <w:sz w:val="28"/>
          <w:lang w:val="zh-CN"/>
        </w:rPr>
        <w:t>实质性响应</w:t>
      </w:r>
      <w:r>
        <w:rPr>
          <w:rFonts w:cs="宋体"/>
          <w:kern w:val="0"/>
          <w:sz w:val="28"/>
          <w:lang w:val="zh-CN"/>
        </w:rPr>
        <w:t>的供应商在规定时间内提交最后报价，提交最后报价的供应商不得少于3家。</w:t>
      </w:r>
    </w:p>
    <w:p w14:paraId="51F624B7">
      <w:pPr>
        <w:pStyle w:val="48"/>
        <w:snapToGrid w:val="0"/>
        <w:spacing w:line="300" w:lineRule="auto"/>
        <w:ind w:firstLine="560" w:firstLineChars="200"/>
        <w:contextualSpacing/>
        <w:rPr>
          <w:rFonts w:hint="eastAsia" w:cs="宋体"/>
          <w:kern w:val="0"/>
          <w:sz w:val="28"/>
          <w:lang w:val="zh-CN"/>
        </w:rPr>
      </w:pPr>
      <w:r>
        <w:rPr>
          <w:rFonts w:cs="宋体"/>
          <w:kern w:val="0"/>
          <w:sz w:val="28"/>
          <w:lang w:val="zh-CN"/>
        </w:rPr>
        <w:t>磋商文件不能详细列明采购标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6A26B0BE">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5.</w:t>
      </w:r>
      <w:r>
        <w:rPr>
          <w:rFonts w:cs="宋体"/>
          <w:kern w:val="0"/>
          <w:sz w:val="28"/>
          <w:lang w:val="zh-CN"/>
        </w:rPr>
        <w:t>最后报价是供应商响应文件的有效组成部分。</w:t>
      </w:r>
    </w:p>
    <w:p w14:paraId="521E2FA3">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6.</w:t>
      </w:r>
      <w:r>
        <w:rPr>
          <w:rFonts w:cs="宋体"/>
          <w:kern w:val="0"/>
          <w:sz w:val="28"/>
          <w:lang w:val="zh-CN"/>
        </w:rPr>
        <w:t>已提交响应文件的供应商，在提交最后报价之前，可以根据磋商情况退出磋商。</w:t>
      </w:r>
    </w:p>
    <w:p w14:paraId="617C0E53">
      <w:pPr>
        <w:pStyle w:val="48"/>
        <w:snapToGrid w:val="0"/>
        <w:spacing w:line="300" w:lineRule="auto"/>
        <w:ind w:firstLine="560" w:firstLineChars="200"/>
        <w:contextualSpacing/>
        <w:rPr>
          <w:rFonts w:hint="eastAsia" w:cs="宋体"/>
          <w:kern w:val="0"/>
          <w:sz w:val="28"/>
          <w:lang w:val="zh-CN"/>
        </w:rPr>
      </w:pPr>
      <w:r>
        <w:rPr>
          <w:rFonts w:hint="eastAsia" w:cs="宋体"/>
          <w:kern w:val="0"/>
          <w:sz w:val="28"/>
          <w:lang w:val="zh-CN"/>
        </w:rPr>
        <w:t>磋商时间由磋商小组掌握。</w:t>
      </w:r>
    </w:p>
    <w:p w14:paraId="496C4A07">
      <w:pPr>
        <w:pStyle w:val="48"/>
        <w:snapToGrid w:val="0"/>
        <w:spacing w:line="300" w:lineRule="auto"/>
        <w:ind w:firstLine="577"/>
        <w:contextualSpacing/>
        <w:rPr>
          <w:rFonts w:hint="eastAsia"/>
          <w:b/>
          <w:sz w:val="28"/>
        </w:rPr>
      </w:pPr>
      <w:r>
        <w:rPr>
          <w:rFonts w:hint="eastAsia"/>
          <w:b/>
          <w:sz w:val="28"/>
        </w:rPr>
        <w:t>三、评审方法-综合评分法</w:t>
      </w:r>
    </w:p>
    <w:p w14:paraId="18F0073A">
      <w:pPr>
        <w:pStyle w:val="48"/>
        <w:snapToGrid w:val="0"/>
        <w:spacing w:line="300" w:lineRule="auto"/>
        <w:ind w:firstLine="577"/>
        <w:contextualSpacing/>
        <w:rPr>
          <w:rFonts w:hint="eastAsia"/>
          <w:sz w:val="28"/>
        </w:rPr>
      </w:pPr>
      <w:r>
        <w:rPr>
          <w:rFonts w:hint="eastAsia"/>
          <w:sz w:val="28"/>
        </w:rPr>
        <w:t>经磋商确定最终采购需求和提交最后报价的供应商后，由磋商小组采用综合评分法对提交最后报价的供应商的响应文件和最后报价进行综合评分。</w:t>
      </w:r>
    </w:p>
    <w:p w14:paraId="6B0E0C20">
      <w:pPr>
        <w:pStyle w:val="48"/>
        <w:snapToGrid w:val="0"/>
        <w:spacing w:line="300" w:lineRule="auto"/>
        <w:ind w:firstLine="577"/>
        <w:contextualSpacing/>
        <w:rPr>
          <w:rFonts w:hint="eastAsia"/>
          <w:sz w:val="28"/>
        </w:rPr>
      </w:pPr>
      <w:r>
        <w:rPr>
          <w:rFonts w:hint="eastAsia"/>
          <w:sz w:val="28"/>
        </w:rPr>
        <w:t>综合评分法，是指响应文件满足磋商文件全部实质性要求且按评审因素的量化指标评审得分前三名的供应商为成交候选供应商的评审方法。</w:t>
      </w:r>
    </w:p>
    <w:p w14:paraId="2B9124CF">
      <w:pPr>
        <w:pStyle w:val="48"/>
        <w:snapToGrid w:val="0"/>
        <w:spacing w:line="300" w:lineRule="auto"/>
        <w:ind w:firstLine="577"/>
        <w:contextualSpacing/>
        <w:rPr>
          <w:rFonts w:hint="eastAsia"/>
          <w:sz w:val="28"/>
        </w:rPr>
      </w:pPr>
      <w:r>
        <w:rPr>
          <w:rFonts w:hint="eastAsia"/>
          <w:sz w:val="28"/>
        </w:rPr>
        <w:t>评审时，磋商小组各成员应当独立对每个有效响应的文件进行评价、打分，然后汇总每个供应商每项评分因素的得分。</w:t>
      </w:r>
    </w:p>
    <w:p w14:paraId="2B3BF715">
      <w:pPr>
        <w:snapToGrid w:val="0"/>
        <w:spacing w:line="300" w:lineRule="auto"/>
        <w:ind w:firstLine="562" w:firstLineChars="200"/>
        <w:rPr>
          <w:rFonts w:hint="eastAsia" w:ascii="仿宋_GB2312" w:hAnsi="宋体" w:eastAsia="仿宋_GB2312"/>
          <w:b/>
          <w:sz w:val="28"/>
          <w:szCs w:val="28"/>
        </w:rPr>
      </w:pPr>
      <w:r>
        <w:rPr>
          <w:rFonts w:hint="eastAsia" w:ascii="仿宋_GB2312" w:hAnsi="宋体" w:eastAsia="仿宋_GB2312"/>
          <w:b/>
          <w:sz w:val="28"/>
          <w:szCs w:val="28"/>
        </w:rPr>
        <w:t>（一）审查响应文件的有效性、完整性、响应程度</w:t>
      </w:r>
    </w:p>
    <w:p w14:paraId="0D385690">
      <w:pPr>
        <w:snapToGrid w:val="0"/>
        <w:spacing w:line="300" w:lineRule="auto"/>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1</w:t>
      </w:r>
      <w:r>
        <w:rPr>
          <w:rFonts w:ascii="仿宋_GB2312" w:hAnsi="宋体" w:eastAsia="仿宋_GB2312"/>
          <w:bCs/>
          <w:sz w:val="28"/>
          <w:szCs w:val="28"/>
        </w:rPr>
        <w:t>.</w:t>
      </w:r>
      <w:r>
        <w:rPr>
          <w:rFonts w:hint="eastAsia" w:ascii="仿宋_GB2312" w:hAnsi="宋体" w:eastAsia="仿宋_GB2312"/>
          <w:bCs/>
          <w:sz w:val="28"/>
          <w:szCs w:val="28"/>
        </w:rPr>
        <w:t>网上是否上传响应文件;</w:t>
      </w:r>
    </w:p>
    <w:p w14:paraId="523C2370">
      <w:pPr>
        <w:snapToGrid w:val="0"/>
        <w:spacing w:line="300" w:lineRule="auto"/>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2</w:t>
      </w:r>
      <w:r>
        <w:rPr>
          <w:rFonts w:ascii="仿宋_GB2312" w:hAnsi="宋体" w:eastAsia="仿宋_GB2312"/>
          <w:bCs/>
          <w:sz w:val="28"/>
          <w:szCs w:val="28"/>
        </w:rPr>
        <w:t>.</w:t>
      </w:r>
      <w:r>
        <w:rPr>
          <w:rFonts w:hint="eastAsia" w:ascii="仿宋_GB2312" w:hAnsi="宋体" w:eastAsia="仿宋_GB2312"/>
          <w:bCs/>
          <w:sz w:val="28"/>
          <w:szCs w:val="28"/>
        </w:rPr>
        <w:t>供应商资格是否符合;</w:t>
      </w:r>
    </w:p>
    <w:p w14:paraId="6C75C7D5">
      <w:pPr>
        <w:snapToGrid w:val="0"/>
        <w:spacing w:line="300" w:lineRule="auto"/>
        <w:ind w:firstLine="560" w:firstLineChars="200"/>
        <w:rPr>
          <w:rFonts w:hint="eastAsia" w:ascii="仿宋_GB2312" w:hAnsi="宋体" w:eastAsia="仿宋_GB2312"/>
          <w:bCs/>
          <w:sz w:val="28"/>
          <w:szCs w:val="28"/>
        </w:rPr>
      </w:pPr>
      <w:r>
        <w:rPr>
          <w:rFonts w:hint="eastAsia" w:ascii="仿宋_GB2312" w:hAnsi="宋体" w:eastAsia="仿宋_GB2312"/>
          <w:bCs/>
          <w:sz w:val="28"/>
          <w:szCs w:val="28"/>
        </w:rPr>
        <w:t>3</w:t>
      </w:r>
      <w:r>
        <w:rPr>
          <w:rFonts w:ascii="仿宋_GB2312" w:hAnsi="宋体" w:eastAsia="仿宋_GB2312"/>
          <w:bCs/>
          <w:sz w:val="28"/>
          <w:szCs w:val="28"/>
        </w:rPr>
        <w:t>.</w:t>
      </w:r>
      <w:r>
        <w:rPr>
          <w:rFonts w:hint="eastAsia" w:ascii="仿宋_GB2312" w:hAnsi="宋体" w:eastAsia="仿宋_GB2312"/>
          <w:bCs/>
          <w:sz w:val="28"/>
          <w:szCs w:val="28"/>
        </w:rPr>
        <w:t>响应文件是否完整；</w:t>
      </w:r>
    </w:p>
    <w:p w14:paraId="77219996">
      <w:pPr>
        <w:snapToGrid w:val="0"/>
        <w:spacing w:line="300" w:lineRule="auto"/>
        <w:ind w:firstLine="560" w:firstLineChars="200"/>
        <w:rPr>
          <w:rFonts w:hint="eastAsia" w:ascii="仿宋_GB2312" w:hAnsi="宋体" w:eastAsia="仿宋_GB2312"/>
          <w:sz w:val="28"/>
          <w:szCs w:val="28"/>
        </w:rPr>
      </w:pPr>
      <w:r>
        <w:rPr>
          <w:rFonts w:hint="eastAsia" w:ascii="仿宋_GB2312" w:hAnsi="宋体" w:eastAsia="仿宋_GB2312"/>
          <w:bCs/>
          <w:sz w:val="28"/>
          <w:szCs w:val="28"/>
        </w:rPr>
        <w:t>4</w:t>
      </w:r>
      <w:r>
        <w:rPr>
          <w:rFonts w:ascii="仿宋_GB2312" w:hAnsi="宋体" w:eastAsia="仿宋_GB2312"/>
          <w:bCs/>
          <w:sz w:val="28"/>
          <w:szCs w:val="28"/>
        </w:rPr>
        <w:t>.</w:t>
      </w:r>
      <w:r>
        <w:rPr>
          <w:rFonts w:hint="eastAsia" w:ascii="仿宋_GB2312" w:hAnsi="宋体" w:eastAsia="仿宋_GB2312"/>
          <w:bCs/>
          <w:sz w:val="28"/>
          <w:szCs w:val="28"/>
        </w:rPr>
        <w:t>响应文件是否恰当地签署</w:t>
      </w:r>
      <w:r>
        <w:rPr>
          <w:rFonts w:hint="eastAsia" w:ascii="仿宋_GB2312" w:hAnsi="宋体" w:eastAsia="仿宋_GB2312"/>
          <w:sz w:val="28"/>
          <w:szCs w:val="28"/>
        </w:rPr>
        <w:t>；</w:t>
      </w:r>
    </w:p>
    <w:p w14:paraId="1DF63D23">
      <w:pPr>
        <w:snapToGrid w:val="0"/>
        <w:spacing w:line="300" w:lineRule="auto"/>
        <w:ind w:firstLine="540"/>
        <w:rPr>
          <w:rFonts w:hint="eastAsia" w:ascii="楷体_GB2312" w:hAnsi="宋体" w:eastAsia="楷体_GB2312"/>
          <w:b/>
          <w:sz w:val="28"/>
          <w:szCs w:val="28"/>
        </w:rPr>
      </w:pPr>
      <w:r>
        <w:rPr>
          <w:rFonts w:hint="eastAsia" w:ascii="仿宋_GB2312" w:hAnsi="宋体" w:eastAsia="仿宋_GB2312"/>
          <w:sz w:val="28"/>
          <w:szCs w:val="28"/>
        </w:rPr>
        <w:t>5</w:t>
      </w:r>
      <w:r>
        <w:rPr>
          <w:rFonts w:ascii="仿宋_GB2312" w:hAnsi="宋体" w:eastAsia="仿宋_GB2312"/>
          <w:sz w:val="28"/>
          <w:szCs w:val="28"/>
        </w:rPr>
        <w:t>.</w:t>
      </w:r>
      <w:r>
        <w:rPr>
          <w:rFonts w:hint="eastAsia" w:ascii="仿宋_GB2312" w:hAnsi="宋体" w:eastAsia="仿宋_GB2312"/>
          <w:sz w:val="28"/>
          <w:szCs w:val="28"/>
        </w:rPr>
        <w:t>是否作出实质性响应（</w:t>
      </w:r>
      <w:r>
        <w:rPr>
          <w:rFonts w:hint="eastAsia" w:ascii="楷体_GB2312" w:hAnsi="宋体" w:eastAsia="楷体_GB2312"/>
          <w:b/>
          <w:sz w:val="28"/>
          <w:szCs w:val="28"/>
        </w:rPr>
        <w:t>是否有实质性响应，只根据响应文件本身，而不寻求外部证据）；</w:t>
      </w:r>
    </w:p>
    <w:p w14:paraId="07E3EE7C">
      <w:pPr>
        <w:snapToGrid w:val="0"/>
        <w:spacing w:line="30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6</w:t>
      </w:r>
      <w:r>
        <w:rPr>
          <w:rFonts w:ascii="仿宋_GB2312" w:hAnsi="宋体" w:eastAsia="仿宋_GB2312"/>
          <w:sz w:val="28"/>
          <w:szCs w:val="28"/>
        </w:rPr>
        <w:t>.</w:t>
      </w:r>
      <w:r>
        <w:rPr>
          <w:rFonts w:hint="eastAsia" w:ascii="仿宋_GB2312" w:hAnsi="宋体" w:eastAsia="仿宋_GB2312"/>
          <w:sz w:val="28"/>
          <w:szCs w:val="28"/>
        </w:rPr>
        <w:t>是否有计算错误。</w:t>
      </w:r>
    </w:p>
    <w:p w14:paraId="70D84002">
      <w:pPr>
        <w:snapToGrid w:val="0"/>
        <w:spacing w:line="300" w:lineRule="auto"/>
        <w:ind w:firstLine="562" w:firstLineChars="200"/>
        <w:rPr>
          <w:rFonts w:hint="eastAsia" w:ascii="仿宋_GB2312" w:hAnsi="宋体" w:eastAsia="仿宋_GB2312"/>
          <w:b/>
          <w:bCs/>
          <w:sz w:val="28"/>
          <w:szCs w:val="28"/>
        </w:rPr>
      </w:pPr>
      <w:r>
        <w:rPr>
          <w:rFonts w:hint="eastAsia" w:ascii="仿宋_GB2312" w:hAnsi="宋体" w:eastAsia="仿宋_GB2312"/>
          <w:b/>
          <w:bCs/>
          <w:sz w:val="28"/>
          <w:szCs w:val="28"/>
        </w:rPr>
        <w:t>（二）误差纠正</w:t>
      </w:r>
    </w:p>
    <w:p w14:paraId="575C6ECA">
      <w:pPr>
        <w:snapToGrid w:val="0"/>
        <w:spacing w:line="300" w:lineRule="auto"/>
        <w:ind w:firstLine="560" w:firstLineChars="200"/>
        <w:rPr>
          <w:rFonts w:hint="eastAsia" w:ascii="仿宋_GB2312" w:hAnsi="宋体" w:eastAsia="仿宋_GB2312"/>
          <w:sz w:val="28"/>
          <w:szCs w:val="28"/>
        </w:rPr>
      </w:pPr>
      <w:r>
        <w:rPr>
          <w:rFonts w:hint="eastAsia" w:ascii="仿宋_GB2312" w:hAnsi="宋体" w:eastAsia="仿宋_GB2312"/>
          <w:bCs/>
          <w:sz w:val="28"/>
          <w:szCs w:val="28"/>
        </w:rPr>
        <w:t>1</w:t>
      </w:r>
      <w:r>
        <w:rPr>
          <w:rFonts w:ascii="仿宋_GB2312" w:hAnsi="宋体" w:eastAsia="仿宋_GB2312"/>
          <w:bCs/>
          <w:sz w:val="28"/>
          <w:szCs w:val="28"/>
        </w:rPr>
        <w:t>.</w:t>
      </w:r>
      <w:r>
        <w:rPr>
          <w:rFonts w:hint="eastAsia" w:ascii="仿宋_GB2312" w:hAnsi="宋体" w:eastAsia="仿宋_GB2312"/>
          <w:sz w:val="28"/>
          <w:szCs w:val="28"/>
        </w:rPr>
        <w:t>如果单价汇总金额与总价金额有出入，以单价金额计算结果为准；</w:t>
      </w:r>
    </w:p>
    <w:p w14:paraId="27699928">
      <w:pPr>
        <w:snapToGrid w:val="0"/>
        <w:spacing w:line="30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2</w:t>
      </w:r>
      <w:r>
        <w:rPr>
          <w:rFonts w:ascii="仿宋_GB2312" w:hAnsi="宋体" w:eastAsia="仿宋_GB2312"/>
          <w:sz w:val="28"/>
          <w:szCs w:val="28"/>
        </w:rPr>
        <w:t>.</w:t>
      </w:r>
      <w:r>
        <w:rPr>
          <w:rFonts w:hint="eastAsia" w:ascii="仿宋_GB2312" w:hAnsi="宋体" w:eastAsia="仿宋_GB2312"/>
          <w:sz w:val="28"/>
          <w:szCs w:val="28"/>
        </w:rPr>
        <w:t>单价金额小数点有明显错位的，应以总价为准；</w:t>
      </w:r>
    </w:p>
    <w:p w14:paraId="421F6CD2">
      <w:pPr>
        <w:snapToGrid w:val="0"/>
        <w:spacing w:line="300" w:lineRule="auto"/>
        <w:ind w:firstLine="560" w:firstLineChars="200"/>
        <w:rPr>
          <w:rFonts w:hint="eastAsia" w:ascii="仿宋_GB2312" w:hAnsi="宋体" w:eastAsia="仿宋_GB2312"/>
          <w:sz w:val="28"/>
          <w:szCs w:val="28"/>
        </w:rPr>
      </w:pPr>
      <w:r>
        <w:rPr>
          <w:rFonts w:hint="eastAsia" w:ascii="仿宋_GB2312" w:hAnsi="宋体" w:eastAsia="仿宋_GB2312"/>
          <w:sz w:val="28"/>
          <w:szCs w:val="28"/>
        </w:rPr>
        <w:t>3</w:t>
      </w:r>
      <w:r>
        <w:rPr>
          <w:rFonts w:ascii="仿宋_GB2312" w:hAnsi="宋体" w:eastAsia="仿宋_GB2312"/>
          <w:sz w:val="28"/>
          <w:szCs w:val="28"/>
        </w:rPr>
        <w:t>.</w:t>
      </w:r>
      <w:r>
        <w:rPr>
          <w:rFonts w:hint="eastAsia" w:ascii="仿宋_GB2312" w:hAnsi="宋体" w:eastAsia="仿宋_GB2312"/>
          <w:sz w:val="28"/>
          <w:szCs w:val="28"/>
        </w:rPr>
        <w:t>若文件大写表示的数据与数字表示的有差别，以大写表示的数据为准。</w:t>
      </w:r>
    </w:p>
    <w:p w14:paraId="297BFEAB">
      <w:pPr>
        <w:tabs>
          <w:tab w:val="left" w:pos="6555"/>
          <w:tab w:val="right" w:pos="8306"/>
        </w:tabs>
        <w:snapToGrid w:val="0"/>
        <w:spacing w:line="300" w:lineRule="auto"/>
        <w:ind w:firstLine="562" w:firstLineChars="200"/>
        <w:rPr>
          <w:rFonts w:hint="eastAsia" w:ascii="仿宋_GB2312" w:hAnsi="宋体" w:eastAsia="仿宋_GB2312"/>
          <w:b/>
          <w:sz w:val="28"/>
          <w:szCs w:val="28"/>
        </w:rPr>
      </w:pPr>
      <w:r>
        <w:rPr>
          <w:rFonts w:hint="eastAsia" w:ascii="仿宋_GB2312" w:hAnsi="宋体" w:eastAsia="仿宋_GB2312"/>
          <w:b/>
          <w:sz w:val="28"/>
          <w:szCs w:val="28"/>
        </w:rPr>
        <w:t>（三）出现下列情形之一的，作无效响应处理</w:t>
      </w:r>
    </w:p>
    <w:p w14:paraId="37163F93">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w:t>
      </w:r>
      <w:r>
        <w:rPr>
          <w:rFonts w:hint="eastAsia" w:ascii="仿宋_GB2312" w:hAnsi="宋体" w:eastAsia="仿宋_GB2312"/>
          <w:sz w:val="28"/>
          <w:szCs w:val="28"/>
        </w:rPr>
        <w:t>未按照磋商文件规定要求签署、盖章的；</w:t>
      </w:r>
    </w:p>
    <w:p w14:paraId="5757F58B">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2</w:t>
      </w:r>
      <w:r>
        <w:rPr>
          <w:rFonts w:ascii="仿宋_GB2312" w:hAnsi="宋体" w:eastAsia="仿宋_GB2312"/>
          <w:sz w:val="28"/>
          <w:szCs w:val="28"/>
        </w:rPr>
        <w:t>.</w:t>
      </w:r>
      <w:r>
        <w:rPr>
          <w:rFonts w:hint="eastAsia" w:ascii="仿宋_GB2312" w:hAnsi="宋体" w:eastAsia="仿宋_GB2312"/>
          <w:sz w:val="28"/>
          <w:szCs w:val="28"/>
        </w:rPr>
        <w:t>不具备磋商文件中规定的资格要求的；</w:t>
      </w:r>
    </w:p>
    <w:p w14:paraId="4ED72FEC">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3.响应报价超出预算的；</w:t>
      </w:r>
    </w:p>
    <w:p w14:paraId="178962DF">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4.不符合法律、法规和磋商文件中规定的其他实质性要求的。</w:t>
      </w:r>
    </w:p>
    <w:p w14:paraId="4D5881DF">
      <w:pPr>
        <w:snapToGrid w:val="0"/>
        <w:spacing w:line="300" w:lineRule="auto"/>
        <w:ind w:firstLine="570"/>
        <w:rPr>
          <w:rFonts w:hint="eastAsia" w:ascii="仿宋_GB2312" w:hAnsi="宋体" w:eastAsia="仿宋_GB2312"/>
          <w:b/>
          <w:sz w:val="28"/>
          <w:szCs w:val="28"/>
        </w:rPr>
      </w:pPr>
      <w:r>
        <w:rPr>
          <w:rFonts w:hint="eastAsia" w:ascii="仿宋_GB2312" w:hAnsi="宋体" w:eastAsia="仿宋_GB2312"/>
          <w:b/>
          <w:sz w:val="28"/>
          <w:szCs w:val="28"/>
        </w:rPr>
        <w:t>（四）出现下列情形之一的，磋商失败</w:t>
      </w:r>
    </w:p>
    <w:p w14:paraId="30A25917">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1.符合条件的供应商或者对磋商文件作实质响应的供应商不足3家的；</w:t>
      </w:r>
    </w:p>
    <w:p w14:paraId="1E484B0A">
      <w:pPr>
        <w:snapToGrid w:val="0"/>
        <w:spacing w:line="300" w:lineRule="auto"/>
        <w:ind w:firstLine="555"/>
        <w:rPr>
          <w:rFonts w:hint="eastAsia" w:ascii="仿宋_GB2312" w:hAnsi="宋体" w:eastAsia="仿宋_GB2312"/>
          <w:sz w:val="28"/>
          <w:szCs w:val="28"/>
        </w:rPr>
      </w:pPr>
      <w:r>
        <w:rPr>
          <w:rFonts w:hint="eastAsia" w:ascii="仿宋_GB2312" w:hAnsi="宋体" w:eastAsia="仿宋_GB2312"/>
          <w:sz w:val="28"/>
          <w:szCs w:val="28"/>
        </w:rPr>
        <w:t>2.出现影响采购公正的违法违规行为的；</w:t>
      </w:r>
    </w:p>
    <w:p w14:paraId="0A368632">
      <w:pPr>
        <w:snapToGrid w:val="0"/>
        <w:spacing w:line="300" w:lineRule="auto"/>
        <w:ind w:firstLine="555"/>
        <w:rPr>
          <w:rFonts w:hint="eastAsia" w:ascii="仿宋_GB2312" w:hAnsi="宋体" w:eastAsia="仿宋_GB2312"/>
          <w:sz w:val="28"/>
          <w:szCs w:val="28"/>
        </w:rPr>
      </w:pPr>
      <w:r>
        <w:rPr>
          <w:rFonts w:hint="eastAsia" w:ascii="仿宋_GB2312" w:hAnsi="宋体" w:eastAsia="仿宋_GB2312"/>
          <w:sz w:val="28"/>
          <w:szCs w:val="28"/>
        </w:rPr>
        <w:t>3.供应商的最后报价均超过了采购预算，采购人不能支付的；</w:t>
      </w:r>
    </w:p>
    <w:p w14:paraId="4899FF34">
      <w:pPr>
        <w:snapToGrid w:val="0"/>
        <w:spacing w:line="300" w:lineRule="auto"/>
        <w:ind w:firstLine="555"/>
        <w:rPr>
          <w:rFonts w:hint="eastAsia" w:ascii="仿宋_GB2312" w:hAnsi="宋体" w:eastAsia="仿宋_GB2312"/>
          <w:sz w:val="28"/>
          <w:szCs w:val="28"/>
        </w:rPr>
      </w:pPr>
      <w:r>
        <w:rPr>
          <w:rFonts w:hint="eastAsia" w:ascii="仿宋_GB2312" w:hAnsi="宋体" w:eastAsia="仿宋_GB2312"/>
          <w:sz w:val="28"/>
          <w:szCs w:val="28"/>
        </w:rPr>
        <w:t>4.因重大变故，采购任务取消的。</w:t>
      </w:r>
    </w:p>
    <w:p w14:paraId="1A1B8118">
      <w:pPr>
        <w:snapToGrid w:val="0"/>
        <w:spacing w:line="300" w:lineRule="auto"/>
        <w:ind w:firstLine="555"/>
        <w:rPr>
          <w:rFonts w:hint="eastAsia" w:ascii="仿宋_GB2312" w:hAnsi="宋体" w:eastAsia="仿宋_GB2312"/>
          <w:sz w:val="28"/>
          <w:szCs w:val="28"/>
        </w:rPr>
      </w:pPr>
      <w:r>
        <w:rPr>
          <w:rFonts w:hint="eastAsia" w:ascii="仿宋_GB2312" w:hAnsi="宋体" w:eastAsia="仿宋_GB2312"/>
          <w:sz w:val="28"/>
          <w:szCs w:val="28"/>
        </w:rPr>
        <w:t>除资格性检查认定错误、分值汇总计算错误、分项评分超出评分标准范围、客观分评分不一致、经磋商小组一致认定评分畸高、畸低的情形外，采购单位不以任何理由组织重新评审。采购单位发现磋商小组未按照磋商文件规定的评审标准进行评审的，重新开展采购活动，并同时书面报告本级财政部门。</w:t>
      </w:r>
    </w:p>
    <w:p w14:paraId="018A3FAE">
      <w:pPr>
        <w:pStyle w:val="48"/>
        <w:snapToGrid w:val="0"/>
        <w:spacing w:line="300" w:lineRule="auto"/>
        <w:ind w:firstLine="577"/>
        <w:contextualSpacing/>
        <w:rPr>
          <w:rFonts w:hint="eastAsia"/>
          <w:b/>
          <w:sz w:val="28"/>
        </w:rPr>
      </w:pPr>
      <w:r>
        <w:rPr>
          <w:rFonts w:hint="eastAsia"/>
          <w:b/>
          <w:sz w:val="28"/>
        </w:rPr>
        <w:t>四、评审标准</w:t>
      </w:r>
    </w:p>
    <w:p w14:paraId="08DE4106">
      <w:pPr>
        <w:snapToGrid w:val="0"/>
        <w:spacing w:line="300" w:lineRule="auto"/>
        <w:ind w:firstLine="555"/>
        <w:rPr>
          <w:rFonts w:hint="eastAsia" w:ascii="仿宋_GB2312" w:hAnsi="宋体" w:eastAsia="仿宋_GB2312"/>
          <w:sz w:val="28"/>
          <w:szCs w:val="28"/>
          <w:lang w:val="zh-CN"/>
        </w:rPr>
      </w:pPr>
      <w:r>
        <w:rPr>
          <w:rFonts w:hint="eastAsia" w:ascii="仿宋_GB2312" w:hAnsi="宋体" w:eastAsia="仿宋_GB2312"/>
          <w:sz w:val="28"/>
          <w:szCs w:val="28"/>
          <w:lang w:val="zh-CN"/>
        </w:rPr>
        <w:t>1.采用综合评分法，即在满足招标文件实质性要求前提下，按照招标文件中规定的评分标准和各项因素进行综合评审后，以评标总得分</w:t>
      </w:r>
      <w:r>
        <w:rPr>
          <w:rFonts w:hint="eastAsia" w:ascii="仿宋_GB2312" w:hAnsi="宋体" w:eastAsia="仿宋_GB2312"/>
          <w:sz w:val="28"/>
          <w:szCs w:val="28"/>
        </w:rPr>
        <w:t>第一</w:t>
      </w:r>
      <w:r>
        <w:rPr>
          <w:rFonts w:hint="eastAsia" w:ascii="仿宋_GB2312" w:hAnsi="宋体" w:eastAsia="仿宋_GB2312"/>
          <w:sz w:val="28"/>
          <w:szCs w:val="28"/>
          <w:lang w:val="zh-CN"/>
        </w:rPr>
        <w:t>名的投标人作为中标候选人。</w:t>
      </w:r>
    </w:p>
    <w:p w14:paraId="01B354D2">
      <w:pPr>
        <w:snapToGrid w:val="0"/>
        <w:spacing w:line="300" w:lineRule="auto"/>
        <w:ind w:firstLine="555"/>
        <w:rPr>
          <w:rFonts w:hint="eastAsia" w:ascii="仿宋_GB2312" w:hAnsi="宋体" w:eastAsia="仿宋_GB2312"/>
          <w:sz w:val="28"/>
          <w:szCs w:val="28"/>
          <w:lang w:val="zh-CN"/>
        </w:rPr>
      </w:pPr>
      <w:r>
        <w:rPr>
          <w:rFonts w:hint="eastAsia" w:ascii="仿宋_GB2312" w:hAnsi="宋体" w:eastAsia="仿宋_GB2312"/>
          <w:sz w:val="28"/>
          <w:szCs w:val="28"/>
          <w:lang w:val="zh-CN"/>
        </w:rPr>
        <w:t>2.对评委的评分（除价格分外）进行统计汇总，计算出每个投标人的算术平均值，加上价格得分即为每个投标人的综合得分。</w:t>
      </w:r>
    </w:p>
    <w:p w14:paraId="4CBFBD84">
      <w:pPr>
        <w:snapToGrid w:val="0"/>
        <w:spacing w:line="300" w:lineRule="auto"/>
        <w:ind w:firstLine="555"/>
        <w:rPr>
          <w:rFonts w:hint="eastAsia" w:ascii="仿宋" w:hAnsi="仿宋" w:eastAsia="仿宋" w:cs="宋体"/>
          <w:b/>
          <w:kern w:val="0"/>
          <w:sz w:val="29"/>
          <w:szCs w:val="29"/>
        </w:rPr>
      </w:pPr>
      <w:r>
        <w:rPr>
          <w:rFonts w:hint="eastAsia" w:ascii="仿宋_GB2312" w:hAnsi="宋体" w:eastAsia="仿宋_GB2312"/>
          <w:sz w:val="28"/>
          <w:szCs w:val="28"/>
          <w:lang w:val="zh-CN"/>
        </w:rPr>
        <w:t>3.</w:t>
      </w:r>
      <w:r>
        <w:rPr>
          <w:rFonts w:hint="eastAsia" w:ascii="仿宋" w:hAnsi="仿宋" w:eastAsia="仿宋" w:cs="宋体"/>
          <w:b/>
          <w:kern w:val="0"/>
          <w:sz w:val="29"/>
          <w:szCs w:val="29"/>
        </w:rPr>
        <w:t>本项目根据评标总得分排名第一名选为中标单位。</w:t>
      </w:r>
    </w:p>
    <w:tbl>
      <w:tblPr>
        <w:tblStyle w:val="17"/>
        <w:tblW w:w="99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8"/>
        <w:gridCol w:w="1354"/>
        <w:gridCol w:w="7791"/>
      </w:tblGrid>
      <w:tr w14:paraId="7FFA2A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818" w:type="dxa"/>
            <w:tcBorders>
              <w:top w:val="single" w:color="auto" w:sz="4" w:space="0"/>
              <w:bottom w:val="single" w:color="auto" w:sz="4" w:space="0"/>
              <w:right w:val="single" w:color="auto" w:sz="4" w:space="0"/>
            </w:tcBorders>
            <w:vAlign w:val="center"/>
          </w:tcPr>
          <w:p w14:paraId="523E4E29">
            <w:pPr>
              <w:snapToGrid w:val="0"/>
              <w:jc w:val="center"/>
              <w:rPr>
                <w:rFonts w:hint="eastAsia" w:ascii="宋体" w:hAnsi="宋体"/>
                <w:b/>
                <w:bCs/>
                <w:sz w:val="24"/>
              </w:rPr>
            </w:pPr>
            <w:r>
              <w:rPr>
                <w:rFonts w:hint="eastAsia" w:ascii="宋体" w:hAnsi="宋体"/>
                <w:b/>
                <w:bCs/>
                <w:sz w:val="24"/>
              </w:rPr>
              <w:t>序号</w:t>
            </w:r>
          </w:p>
        </w:tc>
        <w:tc>
          <w:tcPr>
            <w:tcW w:w="1354" w:type="dxa"/>
            <w:tcBorders>
              <w:top w:val="single" w:color="auto" w:sz="4" w:space="0"/>
              <w:left w:val="single" w:color="auto" w:sz="4" w:space="0"/>
              <w:bottom w:val="single" w:color="auto" w:sz="4" w:space="0"/>
              <w:right w:val="single" w:color="auto" w:sz="4" w:space="0"/>
            </w:tcBorders>
            <w:vAlign w:val="center"/>
          </w:tcPr>
          <w:p w14:paraId="3EB92E75">
            <w:pPr>
              <w:snapToGrid w:val="0"/>
              <w:jc w:val="center"/>
              <w:rPr>
                <w:rFonts w:hint="eastAsia" w:ascii="宋体" w:hAnsi="宋体"/>
                <w:b/>
                <w:bCs/>
                <w:sz w:val="24"/>
              </w:rPr>
            </w:pPr>
            <w:r>
              <w:rPr>
                <w:rFonts w:hint="eastAsia" w:ascii="宋体" w:hAnsi="宋体"/>
                <w:b/>
                <w:bCs/>
                <w:sz w:val="24"/>
              </w:rPr>
              <w:t>指标分项</w:t>
            </w:r>
          </w:p>
        </w:tc>
        <w:tc>
          <w:tcPr>
            <w:tcW w:w="7791" w:type="dxa"/>
            <w:tcBorders>
              <w:top w:val="single" w:color="auto" w:sz="4" w:space="0"/>
              <w:left w:val="single" w:color="auto" w:sz="4" w:space="0"/>
              <w:bottom w:val="single" w:color="auto" w:sz="4" w:space="0"/>
              <w:right w:val="single" w:color="auto" w:sz="4" w:space="0"/>
            </w:tcBorders>
            <w:vAlign w:val="center"/>
          </w:tcPr>
          <w:p w14:paraId="3097C472">
            <w:pPr>
              <w:tabs>
                <w:tab w:val="left" w:pos="-3"/>
              </w:tabs>
              <w:autoSpaceDE w:val="0"/>
              <w:autoSpaceDN w:val="0"/>
              <w:adjustRightInd w:val="0"/>
              <w:snapToGrid w:val="0"/>
              <w:jc w:val="center"/>
              <w:rPr>
                <w:rFonts w:hint="eastAsia" w:ascii="宋体" w:hAnsi="宋体"/>
                <w:sz w:val="24"/>
                <w:lang w:val="en-GB"/>
              </w:rPr>
            </w:pPr>
            <w:r>
              <w:rPr>
                <w:rFonts w:hint="eastAsia" w:ascii="宋体" w:hAnsi="宋体"/>
                <w:b/>
                <w:bCs/>
                <w:sz w:val="24"/>
              </w:rPr>
              <w:t>评审规则</w:t>
            </w:r>
          </w:p>
        </w:tc>
      </w:tr>
      <w:tr w14:paraId="07AE6A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818" w:type="dxa"/>
            <w:tcBorders>
              <w:top w:val="single" w:color="auto" w:sz="4" w:space="0"/>
              <w:bottom w:val="single" w:color="auto" w:sz="4" w:space="0"/>
              <w:right w:val="single" w:color="auto" w:sz="4" w:space="0"/>
            </w:tcBorders>
            <w:vAlign w:val="center"/>
          </w:tcPr>
          <w:p w14:paraId="41BDBB21">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1</w:t>
            </w:r>
          </w:p>
        </w:tc>
        <w:tc>
          <w:tcPr>
            <w:tcW w:w="1354" w:type="dxa"/>
            <w:tcBorders>
              <w:top w:val="single" w:color="auto" w:sz="4" w:space="0"/>
              <w:left w:val="single" w:color="auto" w:sz="4" w:space="0"/>
              <w:bottom w:val="single" w:color="auto" w:sz="4" w:space="0"/>
              <w:right w:val="single" w:color="auto" w:sz="4" w:space="0"/>
            </w:tcBorders>
            <w:vAlign w:val="center"/>
          </w:tcPr>
          <w:p w14:paraId="5322FF8A">
            <w:pPr>
              <w:snapToGrid w:val="0"/>
              <w:jc w:val="center"/>
              <w:rPr>
                <w:rFonts w:hint="eastAsia" w:ascii="仿宋_GB2312" w:hAnsi="仿宋" w:eastAsia="仿宋_GB2312" w:cs="宋体"/>
                <w:sz w:val="24"/>
              </w:rPr>
            </w:pPr>
            <w:r>
              <w:rPr>
                <w:rFonts w:hint="eastAsia" w:ascii="仿宋_GB2312" w:hAnsi="仿宋" w:eastAsia="仿宋_GB2312" w:cs="宋体"/>
                <w:sz w:val="24"/>
              </w:rPr>
              <w:t>价格分</w:t>
            </w:r>
          </w:p>
          <w:p w14:paraId="6C1AC76C">
            <w:pPr>
              <w:snapToGrid w:val="0"/>
              <w:jc w:val="center"/>
              <w:rPr>
                <w:rFonts w:hint="eastAsia" w:ascii="仿宋_GB2312" w:hAnsi="仿宋" w:eastAsia="仿宋_GB2312" w:cs="宋体"/>
                <w:sz w:val="24"/>
              </w:rPr>
            </w:pPr>
            <w:r>
              <w:rPr>
                <w:rFonts w:hint="eastAsia" w:ascii="仿宋_GB2312" w:hAnsi="仿宋" w:eastAsia="仿宋_GB2312" w:cs="宋体"/>
                <w:sz w:val="24"/>
              </w:rPr>
              <w:t>(</w:t>
            </w:r>
            <w:r>
              <w:rPr>
                <w:rFonts w:ascii="仿宋_GB2312" w:hAnsi="仿宋" w:eastAsia="仿宋_GB2312" w:cs="宋体"/>
                <w:sz w:val="24"/>
              </w:rPr>
              <w:t>10</w:t>
            </w:r>
            <w:r>
              <w:rPr>
                <w:rFonts w:hint="eastAsia" w:ascii="仿宋_GB2312" w:hAnsi="仿宋" w:eastAsia="仿宋_GB2312" w:cs="宋体"/>
                <w:sz w:val="24"/>
              </w:rPr>
              <w:t>分)</w:t>
            </w:r>
          </w:p>
        </w:tc>
        <w:tc>
          <w:tcPr>
            <w:tcW w:w="7791" w:type="dxa"/>
            <w:tcBorders>
              <w:top w:val="single" w:color="auto" w:sz="4" w:space="0"/>
              <w:left w:val="single" w:color="auto" w:sz="4" w:space="0"/>
              <w:bottom w:val="single" w:color="auto" w:sz="4" w:space="0"/>
              <w:right w:val="single" w:color="auto" w:sz="4" w:space="0"/>
            </w:tcBorders>
            <w:vAlign w:val="center"/>
          </w:tcPr>
          <w:p w14:paraId="64C0319D">
            <w:pPr>
              <w:autoSpaceDE w:val="0"/>
              <w:autoSpaceDN w:val="0"/>
              <w:adjustRightInd w:val="0"/>
              <w:snapToGrid w:val="0"/>
              <w:jc w:val="left"/>
              <w:rPr>
                <w:rFonts w:hint="eastAsia" w:ascii="仿宋_GB2312" w:hAnsi="仿宋" w:eastAsia="仿宋_GB2312" w:cs="宋体"/>
                <w:sz w:val="24"/>
              </w:rPr>
            </w:pPr>
            <w:r>
              <w:rPr>
                <w:rFonts w:hint="eastAsia" w:ascii="仿宋_GB2312" w:hAnsi="仿宋" w:eastAsia="仿宋_GB2312" w:cs="宋体"/>
                <w:sz w:val="24"/>
              </w:rPr>
              <w:t>综合评分法中的价格分统一采用低价优先法计算，即满足磋商文件要求且最后报价最低的供应商的价格为磋商基准价，其价格分为满分。其他供应商的价格分统一按照下列公式计算：</w:t>
            </w:r>
          </w:p>
          <w:p w14:paraId="2FD0097C">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rPr>
              <w:t>磋商报价得分=（磋商基准价/最后磋商报价）×价格权值×100。</w:t>
            </w:r>
          </w:p>
        </w:tc>
      </w:tr>
      <w:tr w14:paraId="74E467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818" w:type="dxa"/>
            <w:tcBorders>
              <w:top w:val="single" w:color="auto" w:sz="4" w:space="0"/>
              <w:bottom w:val="single" w:color="auto" w:sz="4" w:space="0"/>
              <w:right w:val="single" w:color="auto" w:sz="4" w:space="0"/>
            </w:tcBorders>
            <w:vAlign w:val="center"/>
          </w:tcPr>
          <w:p w14:paraId="68A1F683">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2</w:t>
            </w:r>
          </w:p>
        </w:tc>
        <w:tc>
          <w:tcPr>
            <w:tcW w:w="1354" w:type="dxa"/>
            <w:tcBorders>
              <w:top w:val="single" w:color="auto" w:sz="4" w:space="0"/>
              <w:left w:val="single" w:color="auto" w:sz="4" w:space="0"/>
              <w:bottom w:val="single" w:color="auto" w:sz="4" w:space="0"/>
              <w:right w:val="single" w:color="auto" w:sz="4" w:space="0"/>
            </w:tcBorders>
            <w:vAlign w:val="center"/>
          </w:tcPr>
          <w:p w14:paraId="7EBFDB25">
            <w:pPr>
              <w:snapToGrid w:val="0"/>
              <w:jc w:val="center"/>
              <w:rPr>
                <w:rFonts w:hint="eastAsia" w:ascii="仿宋_GB2312" w:hAnsi="仿宋" w:eastAsia="仿宋_GB2312" w:cs="宋体"/>
                <w:sz w:val="24"/>
              </w:rPr>
            </w:pPr>
            <w:r>
              <w:rPr>
                <w:rFonts w:hint="eastAsia" w:ascii="仿宋_GB2312" w:hAnsi="仿宋" w:eastAsia="仿宋_GB2312" w:cs="宋体"/>
                <w:sz w:val="24"/>
              </w:rPr>
              <w:t>公司资质</w:t>
            </w:r>
          </w:p>
          <w:p w14:paraId="59D85513">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cs="宋体"/>
                <w:sz w:val="24"/>
              </w:rPr>
              <w:t>（</w:t>
            </w:r>
            <w:r>
              <w:rPr>
                <w:rFonts w:ascii="仿宋_GB2312" w:hAnsi="仿宋" w:eastAsia="仿宋_GB2312" w:cs="宋体"/>
                <w:sz w:val="24"/>
              </w:rPr>
              <w:t>3</w:t>
            </w:r>
            <w:r>
              <w:rPr>
                <w:rFonts w:hint="eastAsia" w:ascii="仿宋_GB2312" w:hAnsi="仿宋" w:eastAsia="仿宋_GB2312" w:cs="宋体"/>
                <w:sz w:val="24"/>
              </w:rPr>
              <w:t>1分）</w:t>
            </w:r>
          </w:p>
        </w:tc>
        <w:tc>
          <w:tcPr>
            <w:tcW w:w="7791" w:type="dxa"/>
            <w:tcBorders>
              <w:top w:val="single" w:color="auto" w:sz="4" w:space="0"/>
              <w:left w:val="single" w:color="auto" w:sz="4" w:space="0"/>
              <w:bottom w:val="single" w:color="auto" w:sz="4" w:space="0"/>
              <w:right w:val="single" w:color="auto" w:sz="4" w:space="0"/>
            </w:tcBorders>
            <w:vAlign w:val="center"/>
          </w:tcPr>
          <w:p w14:paraId="61D2CA77">
            <w:pPr>
              <w:pStyle w:val="2"/>
              <w:snapToGrid w:val="0"/>
              <w:spacing w:line="240" w:lineRule="auto"/>
              <w:ind w:firstLine="0"/>
              <w:rPr>
                <w:rFonts w:hint="default" w:ascii="仿宋_GB2312" w:hAnsi="仿宋" w:eastAsia="仿宋_GB2312" w:cs="宋体"/>
                <w:sz w:val="24"/>
                <w:lang w:val="en-US" w:eastAsia="zh-CN"/>
              </w:rPr>
            </w:pPr>
            <w:r>
              <w:rPr>
                <w:rFonts w:hint="eastAsia" w:ascii="仿宋_GB2312" w:hAnsi="仿宋" w:eastAsia="仿宋_GB2312" w:cs="宋体"/>
                <w:sz w:val="24"/>
                <w:lang w:val="en-US" w:eastAsia="zh-CN"/>
              </w:rPr>
              <w:t>1.</w:t>
            </w:r>
            <w:r>
              <w:rPr>
                <w:rFonts w:hint="eastAsia" w:ascii="仿宋_GB2312" w:hAnsi="仿宋" w:eastAsia="仿宋_GB2312" w:cs="宋体"/>
                <w:sz w:val="24"/>
              </w:rPr>
              <w:t>具有网络安全应急服务支撑单位证书（国家级）的得</w:t>
            </w:r>
            <w:r>
              <w:rPr>
                <w:rFonts w:hint="eastAsia" w:ascii="仿宋_GB2312" w:hAnsi="仿宋" w:eastAsia="仿宋_GB2312" w:cs="宋体"/>
                <w:sz w:val="24"/>
                <w:lang w:val="en-US" w:eastAsia="zh-CN"/>
              </w:rPr>
              <w:t>3</w:t>
            </w:r>
            <w:r>
              <w:rPr>
                <w:rFonts w:hint="eastAsia" w:ascii="仿宋_GB2312" w:hAnsi="仿宋" w:eastAsia="仿宋_GB2312" w:cs="宋体"/>
                <w:sz w:val="24"/>
              </w:rPr>
              <w:t>分</w:t>
            </w:r>
            <w:r>
              <w:rPr>
                <w:rFonts w:hint="eastAsia" w:ascii="仿宋_GB2312" w:hAnsi="仿宋" w:eastAsia="仿宋_GB2312" w:cs="宋体"/>
                <w:sz w:val="24"/>
                <w:lang w:eastAsia="zh-CN"/>
              </w:rPr>
              <w:t>。</w:t>
            </w:r>
          </w:p>
          <w:p w14:paraId="05E3018C">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2</w:t>
            </w:r>
            <w:r>
              <w:rPr>
                <w:rFonts w:ascii="仿宋_GB2312" w:hAnsi="仿宋" w:eastAsia="仿宋_GB2312" w:cs="宋体"/>
                <w:sz w:val="24"/>
              </w:rPr>
              <w:t>.</w:t>
            </w:r>
            <w:r>
              <w:rPr>
                <w:rFonts w:hint="eastAsia" w:ascii="仿宋_GB2312" w:hAnsi="仿宋" w:eastAsia="仿宋_GB2312" w:cs="宋体"/>
                <w:sz w:val="24"/>
              </w:rPr>
              <w:t>具有中国网络安全审查技术与认证中心（CCRC）颁发的信息安全运维服务资质证书得4分。</w:t>
            </w:r>
          </w:p>
          <w:p w14:paraId="61FE5862">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3</w:t>
            </w:r>
            <w:r>
              <w:rPr>
                <w:rFonts w:hint="eastAsia" w:ascii="仿宋_GB2312" w:hAnsi="仿宋" w:eastAsia="仿宋_GB2312" w:cs="宋体"/>
                <w:sz w:val="24"/>
              </w:rPr>
              <w:t>.具有中国网络安全审查技术与认证中心（CCRC）颁发的信息安全风险评估服务资质证书得4分。</w:t>
            </w:r>
          </w:p>
          <w:p w14:paraId="3DAB2058">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4</w:t>
            </w:r>
            <w:r>
              <w:rPr>
                <w:rFonts w:hint="eastAsia" w:ascii="仿宋_GB2312" w:hAnsi="仿宋" w:eastAsia="仿宋_GB2312" w:cs="宋体"/>
                <w:sz w:val="24"/>
              </w:rPr>
              <w:t>.具有中国网络安全审查技术与认证中心（CCRC）颁发的信息安全应急处理服务资质证书得4分。</w:t>
            </w:r>
          </w:p>
          <w:p w14:paraId="5D9AAAEF">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5</w:t>
            </w:r>
            <w:r>
              <w:rPr>
                <w:rFonts w:hint="eastAsia" w:ascii="仿宋_GB2312" w:hAnsi="仿宋" w:eastAsia="仿宋_GB2312" w:cs="宋体"/>
                <w:sz w:val="24"/>
              </w:rPr>
              <w:t>.具有ISO9001《质量管理体系认证证书》得</w:t>
            </w:r>
            <w:r>
              <w:rPr>
                <w:rFonts w:hint="eastAsia" w:ascii="仿宋_GB2312" w:hAnsi="仿宋" w:eastAsia="仿宋_GB2312" w:cs="宋体"/>
                <w:sz w:val="24"/>
                <w:lang w:val="en-US" w:eastAsia="zh-CN"/>
              </w:rPr>
              <w:t>2</w:t>
            </w:r>
            <w:r>
              <w:rPr>
                <w:rFonts w:hint="eastAsia" w:ascii="仿宋_GB2312" w:hAnsi="仿宋" w:eastAsia="仿宋_GB2312" w:cs="宋体"/>
                <w:sz w:val="24"/>
              </w:rPr>
              <w:t>分。</w:t>
            </w:r>
          </w:p>
          <w:p w14:paraId="17E99BA8">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6</w:t>
            </w:r>
            <w:r>
              <w:rPr>
                <w:rFonts w:hint="eastAsia" w:ascii="仿宋_GB2312" w:hAnsi="仿宋" w:eastAsia="仿宋_GB2312" w:cs="宋体"/>
                <w:sz w:val="24"/>
              </w:rPr>
              <w:t>.具有ISO27001《信息安全管理体系认证证书》得</w:t>
            </w:r>
            <w:r>
              <w:rPr>
                <w:rFonts w:hint="eastAsia" w:ascii="仿宋_GB2312" w:hAnsi="仿宋" w:eastAsia="仿宋_GB2312" w:cs="宋体"/>
                <w:sz w:val="24"/>
                <w:lang w:val="en-US" w:eastAsia="zh-CN"/>
              </w:rPr>
              <w:t>2</w:t>
            </w:r>
            <w:r>
              <w:rPr>
                <w:rFonts w:hint="eastAsia" w:ascii="仿宋_GB2312" w:hAnsi="仿宋" w:eastAsia="仿宋_GB2312" w:cs="宋体"/>
                <w:sz w:val="24"/>
              </w:rPr>
              <w:t>分。</w:t>
            </w:r>
          </w:p>
          <w:p w14:paraId="6C2ED734">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7</w:t>
            </w:r>
            <w:r>
              <w:rPr>
                <w:rFonts w:ascii="仿宋_GB2312" w:hAnsi="仿宋" w:eastAsia="仿宋_GB2312" w:cs="宋体"/>
                <w:sz w:val="24"/>
              </w:rPr>
              <w:t>.</w:t>
            </w:r>
            <w:r>
              <w:rPr>
                <w:rFonts w:hint="eastAsia" w:ascii="仿宋_GB2312" w:hAnsi="仿宋" w:eastAsia="仿宋_GB2312" w:cs="宋体"/>
                <w:sz w:val="24"/>
              </w:rPr>
              <w:t>具有ISO信息技术服务管理体系认证证书得</w:t>
            </w:r>
            <w:r>
              <w:rPr>
                <w:rFonts w:hint="eastAsia" w:ascii="仿宋_GB2312" w:hAnsi="仿宋" w:eastAsia="仿宋_GB2312" w:cs="宋体"/>
                <w:sz w:val="24"/>
                <w:lang w:val="en-US" w:eastAsia="zh-CN"/>
              </w:rPr>
              <w:t>2</w:t>
            </w:r>
            <w:r>
              <w:rPr>
                <w:rFonts w:hint="eastAsia" w:ascii="仿宋_GB2312" w:hAnsi="仿宋" w:eastAsia="仿宋_GB2312" w:cs="宋体"/>
                <w:sz w:val="24"/>
              </w:rPr>
              <w:t>分。</w:t>
            </w:r>
          </w:p>
          <w:p w14:paraId="20DB5C7B">
            <w:pPr>
              <w:tabs>
                <w:tab w:val="left" w:pos="-3"/>
              </w:tabs>
              <w:autoSpaceDE w:val="0"/>
              <w:autoSpaceDN w:val="0"/>
              <w:adjustRightInd w:val="0"/>
              <w:snapToGrid w:val="0"/>
              <w:jc w:val="left"/>
              <w:rPr>
                <w:rFonts w:hint="eastAsia" w:ascii="仿宋_GB2312" w:hAnsi="仿宋" w:eastAsia="仿宋_GB2312" w:cs="宋体"/>
                <w:sz w:val="24"/>
              </w:rPr>
            </w:pPr>
            <w:r>
              <w:rPr>
                <w:rFonts w:hint="eastAsia" w:ascii="仿宋_GB2312" w:hAnsi="仿宋" w:eastAsia="仿宋_GB2312" w:cs="宋体"/>
                <w:sz w:val="24"/>
                <w:lang w:val="en-US" w:eastAsia="zh-CN"/>
              </w:rPr>
              <w:t>8</w:t>
            </w:r>
            <w:r>
              <w:rPr>
                <w:rFonts w:hint="eastAsia" w:ascii="仿宋_GB2312" w:hAnsi="仿宋" w:eastAsia="仿宋_GB2312" w:cs="宋体"/>
                <w:sz w:val="24"/>
              </w:rPr>
              <w:t>.具有中国合格评定国家认可委员会（CNAS）检验机构认证证书，得</w:t>
            </w:r>
            <w:r>
              <w:rPr>
                <w:rFonts w:ascii="仿宋_GB2312" w:hAnsi="仿宋" w:eastAsia="仿宋_GB2312" w:cs="宋体"/>
                <w:sz w:val="24"/>
              </w:rPr>
              <w:t>4</w:t>
            </w:r>
            <w:r>
              <w:rPr>
                <w:rFonts w:hint="eastAsia" w:ascii="仿宋_GB2312" w:hAnsi="仿宋" w:eastAsia="仿宋_GB2312" w:cs="宋体"/>
                <w:sz w:val="24"/>
              </w:rPr>
              <w:t>分。</w:t>
            </w:r>
          </w:p>
          <w:p w14:paraId="1AF346BA">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9</w:t>
            </w:r>
            <w:r>
              <w:rPr>
                <w:rFonts w:ascii="仿宋_GB2312" w:hAnsi="仿宋" w:eastAsia="仿宋_GB2312" w:cs="宋体"/>
                <w:sz w:val="24"/>
              </w:rPr>
              <w:t>.</w:t>
            </w:r>
            <w:r>
              <w:rPr>
                <w:rFonts w:hint="eastAsia" w:ascii="仿宋_GB2312" w:hAnsi="仿宋" w:eastAsia="仿宋_GB2312" w:cs="宋体"/>
                <w:sz w:val="24"/>
              </w:rPr>
              <w:t>具有AAA级企业信用等级证书，得</w:t>
            </w:r>
            <w:r>
              <w:rPr>
                <w:rFonts w:ascii="仿宋_GB2312" w:hAnsi="仿宋" w:eastAsia="仿宋_GB2312" w:cs="宋体"/>
                <w:sz w:val="24"/>
              </w:rPr>
              <w:t>2</w:t>
            </w:r>
            <w:r>
              <w:rPr>
                <w:rFonts w:hint="eastAsia" w:ascii="仿宋_GB2312" w:hAnsi="仿宋" w:eastAsia="仿宋_GB2312" w:cs="宋体"/>
                <w:sz w:val="24"/>
              </w:rPr>
              <w:t>分。</w:t>
            </w:r>
          </w:p>
          <w:p w14:paraId="1138BB7F">
            <w:pPr>
              <w:pStyle w:val="2"/>
              <w:snapToGrid w:val="0"/>
              <w:spacing w:line="240" w:lineRule="auto"/>
              <w:ind w:firstLine="0"/>
              <w:rPr>
                <w:rFonts w:hint="eastAsia" w:ascii="仿宋_GB2312" w:hAnsi="仿宋" w:eastAsia="仿宋_GB2312" w:cs="宋体"/>
                <w:sz w:val="24"/>
              </w:rPr>
            </w:pPr>
            <w:r>
              <w:rPr>
                <w:rFonts w:hint="eastAsia" w:ascii="仿宋_GB2312" w:hAnsi="仿宋" w:eastAsia="仿宋_GB2312" w:cs="宋体"/>
                <w:sz w:val="24"/>
                <w:lang w:val="en-US" w:eastAsia="zh-CN"/>
              </w:rPr>
              <w:t>10</w:t>
            </w:r>
            <w:r>
              <w:rPr>
                <w:rFonts w:ascii="仿宋_GB2312" w:hAnsi="仿宋" w:eastAsia="仿宋_GB2312" w:cs="宋体"/>
                <w:sz w:val="24"/>
              </w:rPr>
              <w:t>.</w:t>
            </w:r>
            <w:r>
              <w:rPr>
                <w:rFonts w:hint="eastAsia" w:ascii="仿宋_GB2312" w:hAnsi="仿宋" w:eastAsia="仿宋_GB2312"/>
                <w:sz w:val="24"/>
                <w:lang w:val="en-GB"/>
              </w:rPr>
              <w:t>具有满足项目实施要求的测评工具，检测范围应包括网络设备、主机操作系统、数据库系统、应用系统，每有1个正版商用工具得1分，满分4分。</w:t>
            </w:r>
          </w:p>
          <w:p w14:paraId="4002FEF9">
            <w:pPr>
              <w:tabs>
                <w:tab w:val="left" w:pos="-3"/>
              </w:tabs>
              <w:autoSpaceDE w:val="0"/>
              <w:autoSpaceDN w:val="0"/>
              <w:adjustRightInd w:val="0"/>
              <w:snapToGrid w:val="0"/>
              <w:jc w:val="left"/>
              <w:rPr>
                <w:rFonts w:hint="eastAsia" w:ascii="仿宋_GB2312" w:hAnsi="仿宋" w:eastAsia="仿宋_GB2312"/>
                <w:b/>
                <w:bCs/>
                <w:sz w:val="24"/>
                <w:lang w:val="en-GB"/>
              </w:rPr>
            </w:pPr>
            <w:r>
              <w:rPr>
                <w:rFonts w:hint="eastAsia" w:ascii="仿宋_GB2312" w:hAnsi="仿宋" w:eastAsia="仿宋_GB2312"/>
                <w:b/>
                <w:bCs/>
                <w:sz w:val="24"/>
                <w:lang w:val="en-GB"/>
              </w:rPr>
              <w:t>注：相关证书提供加盖公章复印件，原件备查。</w:t>
            </w:r>
          </w:p>
        </w:tc>
      </w:tr>
      <w:tr w14:paraId="390E47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8" w:hRule="atLeast"/>
          <w:jc w:val="center"/>
        </w:trPr>
        <w:tc>
          <w:tcPr>
            <w:tcW w:w="818" w:type="dxa"/>
            <w:tcBorders>
              <w:bottom w:val="single" w:color="auto" w:sz="4" w:space="0"/>
              <w:right w:val="single" w:color="auto" w:sz="4" w:space="0"/>
            </w:tcBorders>
            <w:vAlign w:val="center"/>
          </w:tcPr>
          <w:p w14:paraId="599C6355">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3</w:t>
            </w:r>
          </w:p>
        </w:tc>
        <w:tc>
          <w:tcPr>
            <w:tcW w:w="1354" w:type="dxa"/>
            <w:tcBorders>
              <w:left w:val="single" w:color="auto" w:sz="4" w:space="0"/>
              <w:bottom w:val="single" w:color="auto" w:sz="4" w:space="0"/>
              <w:right w:val="single" w:color="auto" w:sz="4" w:space="0"/>
            </w:tcBorders>
            <w:vAlign w:val="center"/>
          </w:tcPr>
          <w:p w14:paraId="60FE68BF">
            <w:pPr>
              <w:pStyle w:val="2"/>
              <w:snapToGrid w:val="0"/>
              <w:spacing w:line="240" w:lineRule="auto"/>
              <w:ind w:firstLine="0"/>
              <w:jc w:val="center"/>
              <w:rPr>
                <w:rFonts w:hint="eastAsia" w:ascii="仿宋_GB2312" w:hAnsi="仿宋" w:eastAsia="仿宋_GB2312" w:cs="宋体"/>
                <w:sz w:val="24"/>
              </w:rPr>
            </w:pPr>
            <w:r>
              <w:rPr>
                <w:rFonts w:hint="eastAsia" w:ascii="仿宋_GB2312" w:hAnsi="仿宋" w:eastAsia="仿宋_GB2312" w:cs="宋体"/>
                <w:sz w:val="24"/>
              </w:rPr>
              <w:t>团队实力</w:t>
            </w:r>
          </w:p>
          <w:p w14:paraId="7EA447EE">
            <w:pPr>
              <w:autoSpaceDE w:val="0"/>
              <w:autoSpaceDN w:val="0"/>
              <w:adjustRightInd w:val="0"/>
              <w:snapToGrid w:val="0"/>
              <w:jc w:val="center"/>
              <w:rPr>
                <w:rFonts w:hint="eastAsia" w:ascii="仿宋_GB2312" w:hAnsi="仿宋" w:eastAsia="仿宋_GB2312" w:cs="宋体"/>
                <w:sz w:val="24"/>
                <w:lang w:val="zh-CN"/>
              </w:rPr>
            </w:pPr>
            <w:r>
              <w:rPr>
                <w:rFonts w:hint="eastAsia" w:ascii="仿宋_GB2312" w:hAnsi="仿宋" w:eastAsia="仿宋_GB2312" w:cs="宋体"/>
                <w:sz w:val="24"/>
              </w:rPr>
              <w:t>（</w:t>
            </w:r>
            <w:r>
              <w:rPr>
                <w:rFonts w:ascii="仿宋_GB2312" w:hAnsi="仿宋" w:eastAsia="仿宋_GB2312" w:cs="宋体"/>
                <w:sz w:val="24"/>
              </w:rPr>
              <w:t>2</w:t>
            </w:r>
            <w:r>
              <w:rPr>
                <w:rFonts w:hint="eastAsia" w:ascii="仿宋_GB2312" w:hAnsi="仿宋" w:eastAsia="仿宋_GB2312" w:cs="宋体"/>
                <w:sz w:val="24"/>
              </w:rPr>
              <w:t>9分）</w:t>
            </w:r>
          </w:p>
        </w:tc>
        <w:tc>
          <w:tcPr>
            <w:tcW w:w="7791" w:type="dxa"/>
            <w:tcBorders>
              <w:top w:val="single" w:color="auto" w:sz="4" w:space="0"/>
              <w:left w:val="single" w:color="auto" w:sz="4" w:space="0"/>
              <w:bottom w:val="single" w:color="auto" w:sz="4" w:space="0"/>
              <w:right w:val="single" w:color="auto" w:sz="4" w:space="0"/>
            </w:tcBorders>
            <w:vAlign w:val="center"/>
          </w:tcPr>
          <w:p w14:paraId="7A214006">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1.本次项目的项目负责人（唯一）具备以下资质：</w:t>
            </w:r>
          </w:p>
          <w:p w14:paraId="6D6456A6">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①等保高级测评师证书得</w:t>
            </w:r>
            <w:r>
              <w:rPr>
                <w:rFonts w:ascii="仿宋_GB2312" w:hAnsi="仿宋" w:eastAsia="仿宋_GB2312" w:cs="宋体"/>
                <w:sz w:val="24"/>
              </w:rPr>
              <w:t>3</w:t>
            </w:r>
            <w:r>
              <w:rPr>
                <w:rFonts w:hint="eastAsia" w:ascii="仿宋_GB2312" w:hAnsi="仿宋" w:eastAsia="仿宋_GB2312" w:cs="宋体"/>
                <w:sz w:val="24"/>
              </w:rPr>
              <w:t>分。</w:t>
            </w:r>
          </w:p>
          <w:p w14:paraId="74D03807">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②注册信息安全工程师（CISP）证书或者(ISC)注册信息系统安全专家（CISSP）证书，得</w:t>
            </w:r>
            <w:r>
              <w:rPr>
                <w:rFonts w:ascii="仿宋_GB2312" w:hAnsi="仿宋" w:eastAsia="仿宋_GB2312" w:cs="宋体"/>
                <w:sz w:val="24"/>
              </w:rPr>
              <w:t>3</w:t>
            </w:r>
            <w:r>
              <w:rPr>
                <w:rFonts w:hint="eastAsia" w:ascii="仿宋_GB2312" w:hAnsi="仿宋" w:eastAsia="仿宋_GB2312" w:cs="宋体"/>
                <w:sz w:val="24"/>
              </w:rPr>
              <w:t>分。</w:t>
            </w:r>
          </w:p>
          <w:p w14:paraId="36CD91D9">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③网络与信息安全管理员职业技能等级证书，得2分。</w:t>
            </w:r>
          </w:p>
          <w:p w14:paraId="0B4C075E">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④信息通信网络运行管理员职业技能等级证书，得</w:t>
            </w:r>
            <w:r>
              <w:rPr>
                <w:rFonts w:ascii="仿宋_GB2312" w:hAnsi="仿宋" w:eastAsia="仿宋_GB2312" w:cs="宋体"/>
                <w:sz w:val="24"/>
              </w:rPr>
              <w:t>3</w:t>
            </w:r>
            <w:r>
              <w:rPr>
                <w:rFonts w:hint="eastAsia" w:ascii="仿宋_GB2312" w:hAnsi="仿宋" w:eastAsia="仿宋_GB2312" w:cs="宋体"/>
                <w:sz w:val="24"/>
              </w:rPr>
              <w:t>分。</w:t>
            </w:r>
          </w:p>
          <w:p w14:paraId="0453BCEC">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⑤信息安全风险评估与管理培训证书，得</w:t>
            </w:r>
            <w:r>
              <w:rPr>
                <w:rFonts w:ascii="仿宋_GB2312" w:hAnsi="仿宋" w:eastAsia="仿宋_GB2312" w:cs="宋体"/>
                <w:sz w:val="24"/>
              </w:rPr>
              <w:t>3</w:t>
            </w:r>
            <w:r>
              <w:rPr>
                <w:rFonts w:hint="eastAsia" w:ascii="仿宋_GB2312" w:hAnsi="仿宋" w:eastAsia="仿宋_GB2312" w:cs="宋体"/>
                <w:sz w:val="24"/>
              </w:rPr>
              <w:t>分。</w:t>
            </w:r>
          </w:p>
          <w:p w14:paraId="11C9F9AD">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2.承担本次项目的项目团队人员（除项目负责人）具备：</w:t>
            </w:r>
          </w:p>
          <w:p w14:paraId="7E6D6CFD">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①项目团队成员中每具有一名中级测评师得1分，最高得3分；</w:t>
            </w:r>
          </w:p>
          <w:p w14:paraId="46FB2477">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②项目团队成员中每具有一名注册信息安全专业人员（CISP）得1分，最高得3分；</w:t>
            </w:r>
          </w:p>
          <w:p w14:paraId="2BB2BB21">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③项目团队成员每具有一名注册网络安全渗透评估专业人员（NSATP-A）得1分，最高得3分；</w:t>
            </w:r>
          </w:p>
          <w:p w14:paraId="02C1A8EC">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④项目团队成员每具有网络信息安全管理员上岗证（中共江苏省委宣传部、江苏省通信管理局、江苏省公安厅联合颁发）得3分，最高得6分。</w:t>
            </w:r>
          </w:p>
          <w:p w14:paraId="3845DA05">
            <w:pPr>
              <w:widowControl/>
              <w:snapToGrid w:val="0"/>
              <w:ind w:right="60"/>
              <w:jc w:val="left"/>
              <w:rPr>
                <w:rFonts w:hint="eastAsia" w:ascii="仿宋_GB2312" w:hAnsi="仿宋" w:eastAsia="仿宋_GB2312" w:cs="宋体"/>
                <w:b/>
                <w:bCs/>
                <w:sz w:val="24"/>
              </w:rPr>
            </w:pPr>
            <w:r>
              <w:rPr>
                <w:rFonts w:hint="eastAsia" w:ascii="仿宋_GB2312" w:hAnsi="仿宋" w:eastAsia="仿宋_GB2312" w:cs="宋体"/>
                <w:b/>
                <w:bCs/>
                <w:sz w:val="24"/>
              </w:rPr>
              <w:t>注：相关证书提供加盖公章复印件，原件备查。同时提供项目团队成员2</w:t>
            </w:r>
            <w:r>
              <w:rPr>
                <w:rFonts w:ascii="仿宋_GB2312" w:hAnsi="仿宋" w:eastAsia="仿宋_GB2312" w:cs="宋体"/>
                <w:b/>
                <w:bCs/>
                <w:sz w:val="24"/>
              </w:rPr>
              <w:t>02</w:t>
            </w:r>
            <w:r>
              <w:rPr>
                <w:rFonts w:hint="eastAsia" w:ascii="仿宋_GB2312" w:hAnsi="仿宋" w:eastAsia="仿宋_GB2312" w:cs="宋体"/>
                <w:b/>
                <w:bCs/>
                <w:sz w:val="24"/>
              </w:rPr>
              <w:t>5年</w:t>
            </w:r>
            <w:r>
              <w:rPr>
                <w:rFonts w:hint="eastAsia" w:ascii="仿宋_GB2312" w:hAnsi="仿宋" w:eastAsia="仿宋_GB2312" w:cs="宋体"/>
                <w:b/>
                <w:bCs/>
                <w:sz w:val="24"/>
                <w:lang w:val="en-US" w:eastAsia="zh-CN"/>
              </w:rPr>
              <w:t>6</w:t>
            </w:r>
            <w:r>
              <w:rPr>
                <w:rFonts w:hint="eastAsia" w:ascii="仿宋_GB2312" w:hAnsi="仿宋" w:eastAsia="仿宋_GB2312" w:cs="宋体"/>
                <w:b/>
                <w:bCs/>
                <w:sz w:val="24"/>
              </w:rPr>
              <w:t>月</w:t>
            </w:r>
            <w:r>
              <w:rPr>
                <w:rFonts w:ascii="仿宋_GB2312" w:hAnsi="仿宋" w:eastAsia="仿宋_GB2312" w:cs="宋体"/>
                <w:b/>
                <w:bCs/>
                <w:sz w:val="24"/>
              </w:rPr>
              <w:t>社保缴纳证明</w:t>
            </w:r>
            <w:r>
              <w:rPr>
                <w:rFonts w:hint="eastAsia" w:ascii="仿宋_GB2312" w:hAnsi="仿宋" w:eastAsia="仿宋_GB2312" w:cs="宋体"/>
                <w:b/>
                <w:bCs/>
                <w:sz w:val="24"/>
              </w:rPr>
              <w:t>，</w:t>
            </w:r>
            <w:r>
              <w:rPr>
                <w:rFonts w:ascii="仿宋_GB2312" w:hAnsi="仿宋" w:eastAsia="仿宋_GB2312" w:cs="宋体"/>
                <w:b/>
                <w:bCs/>
                <w:sz w:val="24"/>
              </w:rPr>
              <w:t>加盖公章</w:t>
            </w:r>
            <w:r>
              <w:rPr>
                <w:rFonts w:hint="eastAsia" w:ascii="仿宋_GB2312" w:hAnsi="仿宋" w:eastAsia="仿宋_GB2312" w:cs="宋体"/>
                <w:b/>
                <w:bCs/>
                <w:sz w:val="24"/>
              </w:rPr>
              <w:t>。新成立的公司提供用工合同及员工自进入新公司至今的社保证明；新入职的员工提供用工合同及新员工自进入公司至今的社保证明。</w:t>
            </w:r>
          </w:p>
        </w:tc>
      </w:tr>
      <w:tr w14:paraId="5B4C7B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818" w:type="dxa"/>
            <w:tcBorders>
              <w:top w:val="single" w:color="auto" w:sz="4" w:space="0"/>
              <w:bottom w:val="single" w:color="auto" w:sz="4" w:space="0"/>
              <w:right w:val="single" w:color="auto" w:sz="4" w:space="0"/>
            </w:tcBorders>
            <w:vAlign w:val="center"/>
          </w:tcPr>
          <w:p w14:paraId="1E8BFB6C">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4</w:t>
            </w:r>
          </w:p>
        </w:tc>
        <w:tc>
          <w:tcPr>
            <w:tcW w:w="1354" w:type="dxa"/>
            <w:tcBorders>
              <w:top w:val="single" w:color="auto" w:sz="4" w:space="0"/>
              <w:left w:val="single" w:color="auto" w:sz="4" w:space="0"/>
              <w:bottom w:val="single" w:color="auto" w:sz="4" w:space="0"/>
              <w:right w:val="single" w:color="auto" w:sz="4" w:space="0"/>
            </w:tcBorders>
            <w:vAlign w:val="center"/>
          </w:tcPr>
          <w:p w14:paraId="05437627">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方案部分（20分）</w:t>
            </w:r>
            <w:r>
              <w:rPr>
                <w:rFonts w:hint="eastAsia" w:ascii="仿宋_GB2312" w:hAnsi="仿宋" w:eastAsia="仿宋_GB2312" w:cs="宋体"/>
                <w:sz w:val="24"/>
              </w:rPr>
              <w:t>）</w:t>
            </w:r>
          </w:p>
        </w:tc>
        <w:tc>
          <w:tcPr>
            <w:tcW w:w="7791" w:type="dxa"/>
            <w:tcBorders>
              <w:top w:val="single" w:color="auto" w:sz="4" w:space="0"/>
              <w:left w:val="single" w:color="auto" w:sz="4" w:space="0"/>
              <w:bottom w:val="single" w:color="auto" w:sz="4" w:space="0"/>
              <w:right w:val="single" w:color="auto" w:sz="4" w:space="0"/>
            </w:tcBorders>
            <w:vAlign w:val="center"/>
          </w:tcPr>
          <w:p w14:paraId="738A85B1">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（1）供应商针对本项目的实际情况制定安全物理环境测评方案；内容详细完整符合项目需求的得 2分；方案可操作性不强，基本满足本项目需求的，得 1分；方案可操作性较差，未提供相应内容的不得分。</w:t>
            </w:r>
          </w:p>
          <w:p w14:paraId="2437DF39">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（2）供应商针对本项目的实际情况制定安全通信网络测评方案；内容详细完整符合项目需求的得 2分；方案可操作性不强，基本满足本项目需求的，得 1分；方案可操作性较差，未提供相应内容的不得分。</w:t>
            </w:r>
          </w:p>
          <w:p w14:paraId="0E7B545E">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（3）供应商针对本项目的实际情况制定安全区域边界测评方案；内容详细完整符合项目需求的得 2分；方案可操作性不强，基本满足本项目需求的，得 1分；方案可操作性较差，未提供相应内容的不得分。</w:t>
            </w:r>
          </w:p>
          <w:p w14:paraId="2C6058A4">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（4）供应商针对本项目的实际情况制定安全计算环境测评方案；内容详细完整符合项目需求的得 2分；方案可操作性不强，基本满足本项目需求的，得 1分；方案可操作性较差，未提供相应内容的不得分。</w:t>
            </w:r>
          </w:p>
          <w:p w14:paraId="073551CA">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（5）供应商针对本项目的实际情况制定安全管理中心测评方案；内容详细完整符合项目需求的得 2分；方案可操作性不强，基本满足本项目需求的，得 1分；方案可操作性较差，未提供相应内容的不得分。</w:t>
            </w:r>
          </w:p>
          <w:p w14:paraId="238F6D6E">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（6）供应商针对本项目的实际情况制定安全管理制度测评方案；内容详细完整符合项目需求的得 2分；方案可操作性不强，基本满足本项目需求的，得 1分；方案可操作性较差，未提供相应内容的不得分。</w:t>
            </w:r>
          </w:p>
          <w:p w14:paraId="5065CD88">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（7）供应商针对本项目的实际情况制定安全管理机构测评方案；内容详细完整符合项目需求的得 2分；方案可操作性不强，基本满足本项目需求的，得 1分；方案可操作性较差，未提供相应内容的不得分。</w:t>
            </w:r>
          </w:p>
          <w:p w14:paraId="6C8AB990">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（8）供应商针对本项目的实际情况制定安全管理人员测评方案；内容详细完整符合项目需求的得 2分；方案可操作性不强，基本满足本项目需求的，得 1分；方案可操作性较差，未提供相应内容的不得分。</w:t>
            </w:r>
          </w:p>
          <w:p w14:paraId="20FDBD61">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（9）供应商针对本项目的实际情况制定安全建设管理测评方案；内容详细完整符合项目需求的得 2分；方案可操作性不强，基本满足本项目需求的，得 1分；方案可操作性较差，未提供相应内容的不得分</w:t>
            </w:r>
          </w:p>
          <w:p w14:paraId="0CD2498F">
            <w:pPr>
              <w:pStyle w:val="2"/>
              <w:snapToGrid w:val="0"/>
              <w:spacing w:line="240" w:lineRule="auto"/>
              <w:ind w:firstLine="0"/>
              <w:jc w:val="left"/>
              <w:rPr>
                <w:rFonts w:hint="eastAsia" w:ascii="仿宋_GB2312" w:hAnsi="仿宋" w:eastAsia="仿宋_GB2312" w:cs="宋体"/>
                <w:sz w:val="24"/>
              </w:rPr>
            </w:pPr>
            <w:r>
              <w:rPr>
                <w:rFonts w:hint="eastAsia" w:ascii="仿宋_GB2312" w:hAnsi="仿宋" w:eastAsia="仿宋_GB2312" w:cs="宋体"/>
                <w:sz w:val="24"/>
              </w:rPr>
              <w:t>（10）供应商针对本项目的实际情况制定安全运维管理测评方案；内容详细完整符合项目需求的得 2分；方案可操作性不强，基本满足本项目需求的，得 1分；方案可操作性较差，未提供相应内容的不得分</w:t>
            </w:r>
          </w:p>
        </w:tc>
      </w:tr>
      <w:tr w14:paraId="32DF3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1" w:hRule="atLeast"/>
          <w:jc w:val="center"/>
        </w:trPr>
        <w:tc>
          <w:tcPr>
            <w:tcW w:w="818" w:type="dxa"/>
            <w:tcBorders>
              <w:top w:val="single" w:color="auto" w:sz="4" w:space="0"/>
              <w:bottom w:val="single" w:color="auto" w:sz="4" w:space="0"/>
              <w:right w:val="single" w:color="auto" w:sz="4" w:space="0"/>
            </w:tcBorders>
            <w:vAlign w:val="center"/>
          </w:tcPr>
          <w:p w14:paraId="50524A60">
            <w:pPr>
              <w:autoSpaceDE w:val="0"/>
              <w:autoSpaceDN w:val="0"/>
              <w:adjustRightInd w:val="0"/>
              <w:snapToGrid w:val="0"/>
              <w:jc w:val="center"/>
              <w:rPr>
                <w:rFonts w:hint="eastAsia" w:ascii="仿宋_GB2312" w:hAnsi="仿宋" w:eastAsia="仿宋_GB2312"/>
                <w:sz w:val="24"/>
              </w:rPr>
            </w:pPr>
            <w:r>
              <w:rPr>
                <w:rFonts w:hint="eastAsia" w:ascii="仿宋_GB2312" w:hAnsi="仿宋" w:eastAsia="仿宋_GB2312"/>
                <w:sz w:val="24"/>
              </w:rPr>
              <w:t>5</w:t>
            </w:r>
          </w:p>
        </w:tc>
        <w:tc>
          <w:tcPr>
            <w:tcW w:w="1354" w:type="dxa"/>
            <w:tcBorders>
              <w:top w:val="single" w:color="auto" w:sz="4" w:space="0"/>
              <w:left w:val="single" w:color="auto" w:sz="4" w:space="0"/>
              <w:right w:val="single" w:color="auto" w:sz="4" w:space="0"/>
            </w:tcBorders>
            <w:vAlign w:val="center"/>
          </w:tcPr>
          <w:p w14:paraId="6A23C897">
            <w:pPr>
              <w:snapToGrid w:val="0"/>
              <w:jc w:val="center"/>
              <w:rPr>
                <w:rFonts w:hint="eastAsia" w:ascii="仿宋_GB2312" w:hAnsi="仿宋" w:eastAsia="仿宋_GB2312" w:cs="宋体"/>
                <w:sz w:val="24"/>
              </w:rPr>
            </w:pPr>
            <w:r>
              <w:rPr>
                <w:rFonts w:hint="eastAsia" w:ascii="仿宋_GB2312" w:hAnsi="仿宋" w:eastAsia="仿宋_GB2312" w:cs="宋体"/>
                <w:sz w:val="24"/>
              </w:rPr>
              <w:t>成功案例</w:t>
            </w:r>
          </w:p>
          <w:p w14:paraId="67D7BCE8">
            <w:pPr>
              <w:widowControl/>
              <w:snapToGrid w:val="0"/>
              <w:ind w:right="60"/>
              <w:jc w:val="center"/>
              <w:rPr>
                <w:rFonts w:hint="eastAsia" w:ascii="仿宋_GB2312" w:hAnsi="仿宋" w:eastAsia="仿宋_GB2312" w:cs="宋体"/>
                <w:sz w:val="24"/>
              </w:rPr>
            </w:pPr>
            <w:r>
              <w:rPr>
                <w:rFonts w:hint="eastAsia" w:ascii="仿宋_GB2312" w:hAnsi="仿宋" w:eastAsia="仿宋_GB2312" w:cs="宋体"/>
                <w:sz w:val="24"/>
              </w:rPr>
              <w:t>（</w:t>
            </w:r>
            <w:r>
              <w:rPr>
                <w:rFonts w:ascii="仿宋_GB2312" w:hAnsi="仿宋" w:eastAsia="仿宋_GB2312" w:cs="宋体"/>
                <w:sz w:val="24"/>
              </w:rPr>
              <w:t>1</w:t>
            </w:r>
            <w:r>
              <w:rPr>
                <w:rFonts w:hint="eastAsia" w:ascii="仿宋_GB2312" w:hAnsi="仿宋" w:eastAsia="仿宋_GB2312" w:cs="宋体"/>
                <w:sz w:val="24"/>
              </w:rPr>
              <w:t>0分）</w:t>
            </w:r>
          </w:p>
        </w:tc>
        <w:tc>
          <w:tcPr>
            <w:tcW w:w="7791" w:type="dxa"/>
            <w:tcBorders>
              <w:top w:val="single" w:color="auto" w:sz="4" w:space="0"/>
              <w:left w:val="single" w:color="auto" w:sz="4" w:space="0"/>
              <w:right w:val="single" w:color="auto" w:sz="4" w:space="0"/>
            </w:tcBorders>
            <w:vAlign w:val="center"/>
          </w:tcPr>
          <w:p w14:paraId="4317F3BB">
            <w:pPr>
              <w:autoSpaceDE w:val="0"/>
              <w:autoSpaceDN w:val="0"/>
              <w:adjustRightInd w:val="0"/>
              <w:snapToGrid w:val="0"/>
              <w:jc w:val="left"/>
              <w:rPr>
                <w:rFonts w:hint="eastAsia" w:ascii="仿宋_GB2312" w:hAnsi="仿宋" w:eastAsia="仿宋_GB2312" w:cs="宋体"/>
                <w:sz w:val="24"/>
              </w:rPr>
            </w:pPr>
            <w:r>
              <w:rPr>
                <w:rFonts w:hint="eastAsia" w:ascii="仿宋_GB2312" w:hAnsi="仿宋" w:eastAsia="仿宋_GB2312" w:cs="宋体"/>
                <w:sz w:val="24"/>
              </w:rPr>
              <w:t>提供2022年1月1日至今等保测评案例合同，每个案例得2分，最高得</w:t>
            </w:r>
            <w:r>
              <w:rPr>
                <w:rFonts w:ascii="仿宋_GB2312" w:hAnsi="仿宋" w:eastAsia="仿宋_GB2312" w:cs="宋体"/>
                <w:sz w:val="24"/>
              </w:rPr>
              <w:t>1</w:t>
            </w:r>
            <w:r>
              <w:rPr>
                <w:rFonts w:hint="eastAsia" w:ascii="仿宋_GB2312" w:hAnsi="仿宋" w:eastAsia="仿宋_GB2312" w:cs="宋体"/>
                <w:sz w:val="24"/>
              </w:rPr>
              <w:t>0分。</w:t>
            </w:r>
          </w:p>
          <w:p w14:paraId="158B6C34">
            <w:pPr>
              <w:autoSpaceDE w:val="0"/>
              <w:autoSpaceDN w:val="0"/>
              <w:adjustRightInd w:val="0"/>
              <w:snapToGrid w:val="0"/>
              <w:jc w:val="left"/>
              <w:rPr>
                <w:rFonts w:hint="eastAsia" w:ascii="仿宋_GB2312" w:hAnsi="仿宋" w:eastAsia="仿宋_GB2312" w:cs="宋体"/>
                <w:sz w:val="24"/>
              </w:rPr>
            </w:pPr>
            <w:r>
              <w:rPr>
                <w:rFonts w:hint="eastAsia" w:ascii="仿宋_GB2312" w:hAnsi="仿宋" w:eastAsia="仿宋_GB2312"/>
                <w:b/>
                <w:bCs/>
                <w:sz w:val="24"/>
                <w:lang w:val="en-GB"/>
              </w:rPr>
              <w:t>注：相关合同提供加盖公章复印件，原件备查。</w:t>
            </w:r>
          </w:p>
        </w:tc>
      </w:tr>
    </w:tbl>
    <w:p w14:paraId="27A91D67">
      <w:pPr>
        <w:snapToGrid w:val="0"/>
        <w:spacing w:line="300" w:lineRule="auto"/>
        <w:ind w:firstLine="555"/>
        <w:rPr>
          <w:rFonts w:hint="eastAsia" w:ascii="仿宋" w:hAnsi="仿宋" w:eastAsia="仿宋" w:cs="宋体"/>
          <w:b/>
          <w:kern w:val="0"/>
          <w:sz w:val="29"/>
          <w:szCs w:val="29"/>
          <w:lang w:val="zh-CN"/>
        </w:rPr>
      </w:pPr>
    </w:p>
    <w:p w14:paraId="0771BF6A">
      <w:pPr>
        <w:pStyle w:val="46"/>
        <w:spacing w:line="0" w:lineRule="atLeast"/>
        <w:ind w:firstLine="562" w:firstLineChars="200"/>
        <w:jc w:val="both"/>
        <w:rPr>
          <w:rFonts w:hint="eastAsia" w:ascii="仿宋_GB2312" w:hAnsi="宋体" w:eastAsia="仿宋_GB2312"/>
          <w:b/>
          <w:sz w:val="28"/>
          <w:szCs w:val="28"/>
        </w:rPr>
      </w:pPr>
      <w:r>
        <w:rPr>
          <w:rFonts w:hint="eastAsia" w:ascii="仿宋_GB2312" w:hAnsi="宋体" w:eastAsia="仿宋_GB2312"/>
          <w:b/>
          <w:sz w:val="28"/>
          <w:szCs w:val="28"/>
        </w:rPr>
        <w:t>五</w:t>
      </w:r>
      <w:r>
        <w:rPr>
          <w:rFonts w:hint="eastAsia" w:ascii="仿宋_GB2312" w:hAnsi="宋体" w:eastAsia="仿宋_GB2312"/>
          <w:sz w:val="28"/>
          <w:szCs w:val="28"/>
        </w:rPr>
        <w:t>、</w:t>
      </w:r>
      <w:r>
        <w:rPr>
          <w:rFonts w:hint="eastAsia" w:ascii="仿宋_GB2312" w:hAnsi="宋体" w:eastAsia="仿宋_GB2312"/>
          <w:b/>
          <w:sz w:val="28"/>
          <w:szCs w:val="28"/>
        </w:rPr>
        <w:t>变更为其他方式采购的情形</w:t>
      </w:r>
    </w:p>
    <w:p w14:paraId="04A6B54A">
      <w:pPr>
        <w:autoSpaceDE w:val="0"/>
        <w:autoSpaceDN w:val="0"/>
        <w:adjustRightInd w:val="0"/>
        <w:snapToGrid w:val="0"/>
        <w:spacing w:line="300" w:lineRule="auto"/>
        <w:ind w:firstLine="560" w:firstLineChars="200"/>
        <w:rPr>
          <w:rFonts w:ascii="仿宋_GB2312" w:eastAsia="仿宋_GB2312"/>
          <w:sz w:val="28"/>
          <w:szCs w:val="28"/>
          <w:lang w:val="zh-CN"/>
        </w:rPr>
      </w:pPr>
      <w:r>
        <w:rPr>
          <w:rFonts w:hint="eastAsia" w:ascii="仿宋_GB2312" w:hAnsi="宋体" w:eastAsia="仿宋_GB2312"/>
          <w:color w:val="FF0000"/>
          <w:sz w:val="28"/>
          <w:szCs w:val="28"/>
        </w:rPr>
        <w:t>提交响应文件截止时间时参加磋商的供应商不足3家的，及磋商中出现符合专业条件的供应商或对磋商文件作实质响应的供应商不足3家，除采购任务取消外，视情采取其他方式采购。</w:t>
      </w:r>
      <w:r>
        <w:rPr>
          <w:rFonts w:hint="eastAsia" w:ascii="仿宋_GB2312" w:eastAsia="仿宋_GB2312"/>
          <w:color w:val="FF0000"/>
          <w:sz w:val="28"/>
          <w:szCs w:val="28"/>
          <w:lang w:val="zh-CN"/>
        </w:rPr>
        <w:t>磋商文件中对供应商资质、技术等要求，将作为</w:t>
      </w:r>
      <w:r>
        <w:rPr>
          <w:rFonts w:hint="eastAsia" w:ascii="仿宋_GB2312" w:hAnsi="宋体" w:eastAsia="仿宋_GB2312"/>
          <w:color w:val="FF0000"/>
          <w:sz w:val="28"/>
          <w:szCs w:val="28"/>
        </w:rPr>
        <w:t>其他</w:t>
      </w:r>
      <w:r>
        <w:rPr>
          <w:rFonts w:hint="eastAsia" w:ascii="仿宋_GB2312" w:eastAsia="仿宋_GB2312"/>
          <w:color w:val="FF0000"/>
          <w:sz w:val="28"/>
          <w:szCs w:val="28"/>
          <w:lang w:val="zh-CN"/>
        </w:rPr>
        <w:t>方式采购的基本要求和依据。原已经参加磋商并符合要求的供应商，根据自愿原则，参加</w:t>
      </w:r>
      <w:r>
        <w:rPr>
          <w:rFonts w:hint="eastAsia" w:ascii="仿宋_GB2312" w:hAnsi="宋体" w:eastAsia="仿宋_GB2312"/>
          <w:color w:val="FF0000"/>
          <w:sz w:val="28"/>
          <w:szCs w:val="28"/>
        </w:rPr>
        <w:t>其他</w:t>
      </w:r>
      <w:r>
        <w:rPr>
          <w:rFonts w:hint="eastAsia" w:ascii="仿宋_GB2312" w:eastAsia="仿宋_GB2312"/>
          <w:color w:val="FF0000"/>
          <w:sz w:val="28"/>
          <w:szCs w:val="28"/>
          <w:lang w:val="zh-CN"/>
        </w:rPr>
        <w:t>方式采购。</w:t>
      </w:r>
    </w:p>
    <w:p w14:paraId="1E42E82C">
      <w:pPr>
        <w:pStyle w:val="48"/>
        <w:snapToGrid w:val="0"/>
        <w:spacing w:line="300" w:lineRule="auto"/>
        <w:ind w:firstLine="577"/>
        <w:contextualSpacing/>
        <w:rPr>
          <w:rFonts w:hint="eastAsia"/>
          <w:sz w:val="28"/>
        </w:rPr>
      </w:pPr>
      <w:r>
        <w:rPr>
          <w:rFonts w:hint="eastAsia"/>
          <w:b/>
          <w:sz w:val="28"/>
        </w:rPr>
        <w:t>六、</w:t>
      </w:r>
      <w:r>
        <w:rPr>
          <w:rFonts w:hint="eastAsia"/>
          <w:sz w:val="28"/>
        </w:rPr>
        <w:t>出现下列情形之一的，竞争性磋商采购活动终止，发布项目终止公告并说明原因，重新开展采购活动：</w:t>
      </w:r>
    </w:p>
    <w:p w14:paraId="787C32C4">
      <w:pPr>
        <w:pStyle w:val="48"/>
        <w:snapToGrid w:val="0"/>
        <w:spacing w:line="300" w:lineRule="auto"/>
        <w:ind w:firstLine="577"/>
        <w:contextualSpacing/>
        <w:rPr>
          <w:rFonts w:hint="eastAsia"/>
          <w:sz w:val="28"/>
        </w:rPr>
      </w:pPr>
      <w:r>
        <w:rPr>
          <w:rFonts w:hint="eastAsia"/>
          <w:sz w:val="28"/>
        </w:rPr>
        <w:t>1.因情况变化，不再符合规定的竞争性磋商采购方式适用情形的；</w:t>
      </w:r>
    </w:p>
    <w:p w14:paraId="30E70F69">
      <w:pPr>
        <w:pStyle w:val="48"/>
        <w:snapToGrid w:val="0"/>
        <w:spacing w:line="300" w:lineRule="auto"/>
        <w:ind w:firstLine="577"/>
        <w:contextualSpacing/>
        <w:rPr>
          <w:rFonts w:hint="eastAsia"/>
          <w:sz w:val="28"/>
        </w:rPr>
      </w:pPr>
      <w:r>
        <w:rPr>
          <w:rFonts w:hint="eastAsia"/>
          <w:sz w:val="28"/>
        </w:rPr>
        <w:t>2.出现影响采购公正的违法、违规行为的；</w:t>
      </w:r>
    </w:p>
    <w:p w14:paraId="4355343C">
      <w:pPr>
        <w:pStyle w:val="48"/>
        <w:snapToGrid w:val="0"/>
        <w:spacing w:line="300" w:lineRule="auto"/>
        <w:ind w:firstLine="560" w:firstLineChars="200"/>
        <w:contextualSpacing/>
        <w:rPr>
          <w:rFonts w:hint="eastAsia"/>
          <w:sz w:val="28"/>
        </w:rPr>
      </w:pPr>
      <w:r>
        <w:rPr>
          <w:rFonts w:hint="eastAsia"/>
          <w:sz w:val="28"/>
        </w:rPr>
        <w:t>3.在采购过程中符合要求的供应商或者报价未超过采购预算的供应商不足3家的。</w:t>
      </w:r>
    </w:p>
    <w:p w14:paraId="1CC00AA7">
      <w:pPr>
        <w:autoSpaceDE w:val="0"/>
        <w:autoSpaceDN w:val="0"/>
        <w:adjustRightInd w:val="0"/>
        <w:snapToGrid w:val="0"/>
        <w:spacing w:line="300" w:lineRule="auto"/>
        <w:ind w:left="-178" w:right="210" w:firstLine="636"/>
        <w:rPr>
          <w:rFonts w:ascii="仿宋_GB2312" w:eastAsia="仿宋_GB2312"/>
          <w:b/>
          <w:sz w:val="28"/>
          <w:szCs w:val="28"/>
          <w:lang w:val="zh-CN"/>
        </w:rPr>
      </w:pPr>
      <w:r>
        <w:rPr>
          <w:rFonts w:hint="eastAsia" w:ascii="仿宋_GB2312" w:eastAsia="仿宋_GB2312"/>
          <w:b/>
          <w:sz w:val="28"/>
          <w:szCs w:val="28"/>
          <w:lang w:val="zh-CN"/>
        </w:rPr>
        <w:t>七、成交通知</w:t>
      </w:r>
    </w:p>
    <w:p w14:paraId="7FC6BA98">
      <w:pPr>
        <w:snapToGrid w:val="0"/>
        <w:spacing w:line="300" w:lineRule="auto"/>
        <w:ind w:firstLine="570"/>
        <w:rPr>
          <w:rFonts w:hint="eastAsia" w:ascii="仿宋_GB2312" w:hAnsi="宋体" w:eastAsia="仿宋_GB2312"/>
          <w:sz w:val="28"/>
          <w:szCs w:val="28"/>
        </w:rPr>
      </w:pPr>
      <w:r>
        <w:rPr>
          <w:rFonts w:hint="eastAsia" w:ascii="仿宋_GB2312" w:hAnsi="宋体" w:eastAsia="仿宋_GB2312"/>
          <w:sz w:val="28"/>
          <w:szCs w:val="28"/>
        </w:rPr>
        <w:t>成交结果在南通市海门区政府网站公告，公告期限为1个工作日。《中标通知书》一经发出，采购单位改变成交结果，或者成交供应商放弃成交的，各自承担相应的法律责任。《中标通知书》是采购合同的组成部分。</w:t>
      </w:r>
    </w:p>
    <w:p w14:paraId="17191E3B">
      <w:pPr>
        <w:autoSpaceDE w:val="0"/>
        <w:autoSpaceDN w:val="0"/>
        <w:adjustRightInd w:val="0"/>
        <w:snapToGrid w:val="0"/>
        <w:spacing w:line="300" w:lineRule="auto"/>
        <w:rPr>
          <w:rFonts w:hint="eastAsia" w:ascii="仿宋_GB2312" w:hAnsi="宋体" w:eastAsia="仿宋_GB2312" w:cs="宋体"/>
          <w:kern w:val="0"/>
          <w:sz w:val="28"/>
          <w:szCs w:val="28"/>
          <w:lang w:val="zh-CN"/>
        </w:rPr>
      </w:pPr>
    </w:p>
    <w:p w14:paraId="18CF4AFD">
      <w:pPr>
        <w:snapToGrid w:val="0"/>
        <w:spacing w:line="300" w:lineRule="auto"/>
        <w:jc w:val="center"/>
        <w:outlineLvl w:val="0"/>
        <w:rPr>
          <w:rFonts w:hint="eastAsia" w:ascii="仿宋_GB2312" w:hAnsi="宋体" w:eastAsia="仿宋_GB2312"/>
          <w:b/>
          <w:sz w:val="36"/>
          <w:szCs w:val="36"/>
        </w:rPr>
      </w:pPr>
      <w:r>
        <w:rPr>
          <w:rFonts w:hint="eastAsia" w:ascii="仿宋_GB2312" w:hAnsi="宋体" w:eastAsia="仿宋_GB2312"/>
          <w:b/>
          <w:sz w:val="36"/>
          <w:szCs w:val="36"/>
        </w:rPr>
        <w:br w:type="page"/>
      </w:r>
      <w:r>
        <w:rPr>
          <w:rFonts w:hint="eastAsia" w:ascii="仿宋_GB2312" w:hAnsi="宋体" w:eastAsia="仿宋_GB2312"/>
          <w:b/>
          <w:sz w:val="36"/>
          <w:szCs w:val="36"/>
        </w:rPr>
        <w:t>第五部分  合同签订与验收付款</w:t>
      </w:r>
    </w:p>
    <w:p w14:paraId="493094E2">
      <w:pPr>
        <w:snapToGrid w:val="0"/>
        <w:spacing w:line="360" w:lineRule="auto"/>
        <w:ind w:firstLine="560" w:firstLineChars="200"/>
        <w:rPr>
          <w:rFonts w:hint="eastAsia" w:ascii="仿宋" w:hAnsi="仿宋" w:eastAsia="仿宋" w:cs="仿宋"/>
          <w:sz w:val="28"/>
          <w:szCs w:val="28"/>
        </w:rPr>
      </w:pPr>
    </w:p>
    <w:p w14:paraId="0DE1FB74">
      <w:pPr>
        <w:snapToGrid w:val="0"/>
        <w:spacing w:line="360" w:lineRule="auto"/>
        <w:ind w:firstLine="560" w:firstLineChars="200"/>
        <w:rPr>
          <w:rFonts w:hint="eastAsia" w:ascii="仿宋_GB2312" w:hAnsi="仿宋" w:eastAsia="仿宋_GB2312" w:cs="仿宋"/>
          <w:sz w:val="28"/>
          <w:szCs w:val="28"/>
          <w:lang w:val="zh-CN"/>
        </w:rPr>
      </w:pPr>
      <w:r>
        <w:rPr>
          <w:rFonts w:hint="eastAsia" w:ascii="仿宋_GB2312" w:hAnsi="仿宋" w:eastAsia="仿宋_GB2312" w:cs="仿宋"/>
          <w:sz w:val="28"/>
          <w:szCs w:val="28"/>
          <w:lang w:val="zh-CN"/>
        </w:rPr>
        <w:t>一、成交供应商和采购单位在接到《中标通知书》后</w:t>
      </w:r>
      <w:r>
        <w:rPr>
          <w:rFonts w:hint="eastAsia" w:ascii="仿宋_GB2312" w:hAnsi="仿宋" w:eastAsia="仿宋_GB2312" w:cs="仿宋"/>
          <w:sz w:val="28"/>
          <w:szCs w:val="28"/>
        </w:rPr>
        <w:t>5个工作日</w:t>
      </w:r>
      <w:r>
        <w:rPr>
          <w:rFonts w:hint="eastAsia" w:ascii="仿宋_GB2312" w:hAnsi="仿宋" w:eastAsia="仿宋_GB2312" w:cs="仿宋"/>
          <w:sz w:val="28"/>
          <w:szCs w:val="28"/>
          <w:lang w:val="zh-CN"/>
        </w:rPr>
        <w:t>内签订合同。合同签订后成交供应商方可履约，否则引起的一切后果由成交人自行承担。所签合同不得对采购文件作实质性修改。采购单位不得向成交供应商提出不合理的要求作为签订合同的条件，不得与成交供应商私下订立背离采购文件实质性内容的协议。</w:t>
      </w:r>
    </w:p>
    <w:p w14:paraId="758A3122">
      <w:pPr>
        <w:snapToGrid w:val="0"/>
        <w:spacing w:line="360" w:lineRule="auto"/>
        <w:ind w:firstLine="562" w:firstLineChars="200"/>
        <w:rPr>
          <w:rFonts w:hint="eastAsia" w:ascii="仿宋_GB2312" w:hAnsi="仿宋" w:eastAsia="仿宋_GB2312" w:cs="仿宋"/>
          <w:sz w:val="28"/>
          <w:szCs w:val="28"/>
        </w:rPr>
      </w:pPr>
      <w:r>
        <w:rPr>
          <w:rFonts w:hint="eastAsia" w:ascii="仿宋_GB2312" w:hAnsi="仿宋" w:eastAsia="仿宋_GB2312" w:cs="仿宋"/>
          <w:b/>
          <w:sz w:val="28"/>
          <w:szCs w:val="28"/>
        </w:rPr>
        <w:t>二</w:t>
      </w:r>
      <w:r>
        <w:rPr>
          <w:rFonts w:hint="eastAsia" w:ascii="仿宋_GB2312" w:hAnsi="仿宋" w:eastAsia="仿宋_GB2312" w:cs="仿宋"/>
          <w:sz w:val="28"/>
          <w:szCs w:val="28"/>
        </w:rPr>
        <w:t>、采购单位按合同约定积极配合成交供应商履约，成交供应商履约到位后，请以书面形式向采购单位提出验收申请，采购单位接到申请后原则上在5个工作日内及时组织相关专业技术人员验收，并出具验收报告，验收合格的原则上7个工作日内支付相应款项。</w:t>
      </w:r>
    </w:p>
    <w:p w14:paraId="3C5177EF">
      <w:pPr>
        <w:snapToGrid w:val="0"/>
        <w:spacing w:line="360" w:lineRule="auto"/>
        <w:ind w:firstLine="660"/>
        <w:contextualSpacing/>
        <w:rPr>
          <w:rFonts w:hint="eastAsia" w:ascii="仿宋_GB2312" w:hAnsi="仿宋" w:eastAsia="仿宋_GB2312" w:cs="仿宋"/>
          <w:sz w:val="28"/>
          <w:szCs w:val="28"/>
        </w:rPr>
      </w:pPr>
      <w:r>
        <w:rPr>
          <w:rFonts w:hint="eastAsia" w:ascii="仿宋_GB2312" w:hAnsi="仿宋" w:eastAsia="仿宋_GB2312" w:cs="仿宋"/>
          <w:sz w:val="28"/>
          <w:szCs w:val="28"/>
        </w:rPr>
        <w:t>三、采购单位故意推迟项目验收时间的，与成交供应商串通或要求成交供应商通过减少货物数量或降低服务标准的，在履行合同中采取更改配置、调换物品等手段的，要求成交供应商出具虚假发票或任意更改销售发票的，谋取不正当利益的，承担相应的法律责任。</w:t>
      </w:r>
    </w:p>
    <w:p w14:paraId="4D0F1850">
      <w:pPr>
        <w:snapToGrid w:val="0"/>
        <w:spacing w:line="360" w:lineRule="auto"/>
        <w:ind w:firstLine="660"/>
        <w:contextualSpacing/>
        <w:rPr>
          <w:rFonts w:hint="eastAsia" w:ascii="仿宋_GB2312" w:hAnsi="仿宋" w:eastAsia="仿宋_GB2312" w:cs="仿宋"/>
          <w:sz w:val="28"/>
          <w:szCs w:val="28"/>
        </w:rPr>
      </w:pPr>
      <w:r>
        <w:rPr>
          <w:rFonts w:hint="eastAsia" w:ascii="仿宋_GB2312" w:hAnsi="仿宋" w:eastAsia="仿宋_GB2312" w:cs="仿宋"/>
          <w:sz w:val="28"/>
          <w:szCs w:val="28"/>
        </w:rPr>
        <w:t>四、成交供应商出现违约情形，应当及时纠正或补偿；造成损失的，按合同约定追究违约责任；发现有假冒、伪劣、走私产品、商业贿赂等违法情形的，应由采购人移交行政执法部门依法查处。</w:t>
      </w:r>
    </w:p>
    <w:p w14:paraId="469B17E7">
      <w:pPr>
        <w:pStyle w:val="5"/>
        <w:kinsoku w:val="0"/>
        <w:topLinePunct/>
        <w:autoSpaceDE w:val="0"/>
        <w:autoSpaceDN w:val="0"/>
        <w:snapToGrid w:val="0"/>
        <w:spacing w:line="360" w:lineRule="auto"/>
        <w:ind w:right="210" w:firstLine="599" w:firstLineChars="214"/>
        <w:contextualSpacing/>
        <w:rPr>
          <w:rFonts w:hint="eastAsia" w:ascii="仿宋_GB2312" w:hAnsi="仿宋" w:eastAsia="仿宋_GB2312" w:cs="仿宋"/>
          <w:b/>
          <w:sz w:val="28"/>
          <w:szCs w:val="28"/>
        </w:rPr>
      </w:pPr>
      <w:r>
        <w:rPr>
          <w:rFonts w:hint="eastAsia" w:ascii="仿宋_GB2312" w:hAnsi="仿宋" w:eastAsia="仿宋_GB2312" w:cs="仿宋"/>
          <w:sz w:val="28"/>
          <w:szCs w:val="28"/>
          <w:lang w:val="zh-CN"/>
        </w:rPr>
        <w:t>五、</w:t>
      </w:r>
      <w:r>
        <w:rPr>
          <w:rFonts w:hint="eastAsia" w:ascii="仿宋_GB2312" w:hAnsi="仿宋" w:eastAsia="仿宋_GB2312" w:cs="仿宋"/>
          <w:b/>
          <w:sz w:val="28"/>
          <w:szCs w:val="28"/>
        </w:rPr>
        <w:t>不响应付款方式的，视同响应文件无效处理。</w:t>
      </w:r>
    </w:p>
    <w:p w14:paraId="1E8B3410">
      <w:pPr>
        <w:snapToGrid w:val="0"/>
        <w:spacing w:line="360" w:lineRule="auto"/>
        <w:ind w:firstLine="660"/>
        <w:contextualSpacing/>
        <w:rPr>
          <w:rFonts w:hint="eastAsia" w:ascii="仿宋" w:hAnsi="仿宋" w:eastAsia="仿宋" w:cs="仿宋"/>
          <w:sz w:val="28"/>
          <w:szCs w:val="28"/>
        </w:rPr>
      </w:pPr>
      <w:r>
        <w:rPr>
          <w:rFonts w:hint="eastAsia" w:ascii="仿宋" w:hAnsi="仿宋" w:eastAsia="仿宋" w:cs="仿宋"/>
          <w:sz w:val="28"/>
          <w:szCs w:val="28"/>
        </w:rPr>
        <w:t>付款方式：</w:t>
      </w:r>
      <w:r>
        <w:rPr>
          <w:rFonts w:hint="eastAsia" w:ascii="仿宋" w:hAnsi="仿宋" w:eastAsia="仿宋"/>
          <w:sz w:val="28"/>
          <w:szCs w:val="28"/>
        </w:rPr>
        <w:t>项目实施完成并验收合格后一次性付清</w:t>
      </w:r>
      <w:r>
        <w:rPr>
          <w:rFonts w:hint="eastAsia" w:ascii="仿宋" w:hAnsi="仿宋" w:eastAsia="仿宋" w:cs="仿宋"/>
          <w:sz w:val="28"/>
          <w:szCs w:val="28"/>
        </w:rPr>
        <w:t>。款项由采购单位按相关财务支付规定办理支付手续。</w:t>
      </w:r>
    </w:p>
    <w:p w14:paraId="3256D242">
      <w:pPr>
        <w:snapToGrid w:val="0"/>
        <w:spacing w:line="400" w:lineRule="atLeast"/>
        <w:jc w:val="center"/>
        <w:outlineLvl w:val="0"/>
        <w:rPr>
          <w:rFonts w:hint="eastAsia" w:ascii="仿宋_GB2312" w:hAnsi="宋体" w:eastAsia="仿宋_GB2312"/>
          <w:b/>
          <w:sz w:val="36"/>
          <w:szCs w:val="36"/>
        </w:rPr>
      </w:pPr>
      <w:r>
        <w:rPr>
          <w:rFonts w:hint="eastAsia" w:ascii="仿宋_GB2312" w:hAnsi="宋体" w:eastAsia="仿宋_GB2312"/>
          <w:b/>
          <w:sz w:val="36"/>
          <w:szCs w:val="36"/>
        </w:rPr>
        <w:br w:type="page"/>
      </w:r>
      <w:r>
        <w:rPr>
          <w:rFonts w:hint="eastAsia" w:ascii="仿宋_GB2312" w:hAnsi="宋体" w:eastAsia="仿宋_GB2312"/>
          <w:b/>
          <w:sz w:val="36"/>
          <w:szCs w:val="36"/>
        </w:rPr>
        <w:t>第六部分  质疑提出和处理</w:t>
      </w:r>
    </w:p>
    <w:p w14:paraId="21E94472">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一、质疑的提出</w:t>
      </w:r>
    </w:p>
    <w:p w14:paraId="47B4F461">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(一)质疑人的身份要求      </w:t>
      </w:r>
    </w:p>
    <w:p w14:paraId="24743603">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1.提出质疑的供应商应当是参与所质疑项目采购活动的供应商。</w:t>
      </w:r>
    </w:p>
    <w:p w14:paraId="512D0C96">
      <w:pPr>
        <w:pStyle w:val="9"/>
        <w:snapToGrid w:val="0"/>
        <w:spacing w:line="400" w:lineRule="atLeast"/>
        <w:ind w:left="0" w:leftChars="0" w:firstLine="560" w:firstLineChars="200"/>
        <w:contextualSpacing/>
        <w:rPr>
          <w:rFonts w:hint="eastAsia" w:ascii="仿宋" w:hAnsi="仿宋" w:eastAsia="仿宋" w:cs="仿宋"/>
          <w:sz w:val="24"/>
        </w:rPr>
      </w:pPr>
      <w:r>
        <w:rPr>
          <w:rFonts w:hint="eastAsia" w:ascii="仿宋" w:hAnsi="仿宋" w:eastAsia="仿宋" w:cs="仿宋"/>
          <w:sz w:val="28"/>
          <w:szCs w:val="28"/>
          <w:lang w:val="zh-CN"/>
        </w:rPr>
        <w:t>2.潜在供应商已依法获取其可质疑的采购文件的，可以对该文件提出质疑。对采购文件提出质疑的，应当在获取采购文件或者采购文件公告期限届满之日起7个工作日内提出。</w:t>
      </w:r>
    </w:p>
    <w:p w14:paraId="7882565D">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 (二)质疑提出的格式要求   </w:t>
      </w:r>
    </w:p>
    <w:p w14:paraId="5B294855">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质疑必须按《政府采购法》《政府采购法实施条例》及《江苏省政府采购供应商监督管理暂行办法》的相关规定提交，质疑实行实名制，不得进行虚假、恶意质疑，未按上述要求提交的质疑函，中心有权不予受理。</w:t>
      </w:r>
    </w:p>
    <w:p w14:paraId="22031B43">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2.质疑函应包括：    </w:t>
      </w:r>
    </w:p>
    <w:p w14:paraId="0A3FCAA9">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（1）质疑供应商的名称、地址、邮编、联系人及联系电话；</w:t>
      </w:r>
    </w:p>
    <w:p w14:paraId="02445F9B">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（2）具体、明确的质疑事项及明确的请求；</w:t>
      </w:r>
    </w:p>
    <w:p w14:paraId="2B388B3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（3）质疑的事实依据和必要的法律依据；</w:t>
      </w:r>
    </w:p>
    <w:p w14:paraId="4DED45A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（4）提起质疑的日期；</w:t>
      </w:r>
    </w:p>
    <w:p w14:paraId="4DBFFBEF">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（5）认为自己合法权益受到损害或可能受到损害的相关证据材料；                            </w:t>
      </w:r>
    </w:p>
    <w:p w14:paraId="30FFEB5B">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6）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中心将不予受理。质疑人委托代理质疑的，应当向中心提交授权委托书，并载明委托代理的具体权限和事项。</w:t>
      </w:r>
    </w:p>
    <w:p w14:paraId="7820FF90">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3.质疑函需遵循的原则：</w:t>
      </w:r>
    </w:p>
    <w:p w14:paraId="42A72C5F">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提出质疑时，必须坚持“谁主张，谁举证”“实事求是”的原则，不能臆测。属于须由法定部门调查、侦查或先行作出相关认定的事项，质疑人应当依法申请具有法定职权的部门查清、认定，并将相关结果提供给招标人。招标人不具有法定调查、认定权限。</w:t>
      </w:r>
    </w:p>
    <w:p w14:paraId="03E0C3E7">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（三）质疑提出的时效要求</w:t>
      </w:r>
    </w:p>
    <w:p w14:paraId="614DF7B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1.供应商认为采购文件、采购过程和采购结果使自己的权益受到损害的，可以在知道或应知其权益受到损害之日起七个工作日内，以书面形式向采购单位提出质疑。上述应知其权益受到损害之日，是指：                       </w:t>
      </w:r>
    </w:p>
    <w:p w14:paraId="31E34BA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（1）对可以质疑的采购文件提出质疑的，为收到采购文件之日或者采购文件公告期限届满之日；</w:t>
      </w:r>
    </w:p>
    <w:p w14:paraId="23BB17C9">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（2）对采购过程提出质疑的，为各采购程序环节结束之日；</w:t>
      </w:r>
    </w:p>
    <w:p w14:paraId="3A1E8266">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（3）对成交或者成交结果提出质疑的，为成交或者成交结果公告期限届满之日。                 </w:t>
      </w:r>
    </w:p>
    <w:p w14:paraId="5F8345E1">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供应商认为采购文件使自己的权益受到损害的，可以按照招标公告第八项要求向采购人提出质疑；供应商认为采购过程和采购结果使自己的权益受到损害的，可以以书面形式向采购中心或采购人提出质疑。</w:t>
      </w:r>
    </w:p>
    <w:p w14:paraId="16268B2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2.供应商应在法定质疑期一次性提出针对同一采购程序环节的质疑。                         </w:t>
      </w:r>
    </w:p>
    <w:p w14:paraId="2FDA2930">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二、《质疑函》的受理和答复</w:t>
      </w:r>
    </w:p>
    <w:p w14:paraId="1A358420">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1.采购单位收到质疑函后，将对质疑的形式和内容进行审查，如质疑函内容、格式不符合规定，将告知质疑人进行补正。</w:t>
      </w:r>
    </w:p>
    <w:p w14:paraId="2E5EE5CE">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2.质疑人应当在法定质疑期限内进行补正并重新提交质疑函，拒不补正或者在法定期限内未重新提交质疑函的，为无效质疑，将不予受理。</w:t>
      </w:r>
    </w:p>
    <w:p w14:paraId="7BD1BC22">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3.采购单位答复供应商质疑应当采用书面方式并依法送达，质疑供应商或其委托代理人拒绝签收的视为已经送达。</w:t>
      </w:r>
    </w:p>
    <w:p w14:paraId="09F6F23A">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三、质疑处理</w:t>
      </w:r>
    </w:p>
    <w:p w14:paraId="7B467550">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1.质疑成立的处理</w:t>
      </w:r>
    </w:p>
    <w:p w14:paraId="7F850F54">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（1）对于内容、格式符合规定的质疑函，在收到磋商供应商的书面质疑后七个工作日内作出书面答复，但答复的内容不得涉及商业秘密。</w:t>
      </w:r>
    </w:p>
    <w:p w14:paraId="76D449E2">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（2）对采购文件提出的质疑，依法通过澄清或者修改可以继续开展采购活动的，澄清或者修改采购文件后继续开展采购活动；否则应当修改采购文件后重新开展采购活动。</w:t>
      </w:r>
    </w:p>
    <w:p w14:paraId="6BC3063F">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（3）对采购过程、成交或者成交结果提出的质疑，合格供应商符合法定数量时，可以从合格的成交候选人中另行确定成交、成交供应商的，应当依法另行确定成交供应商；否则应当重新开展采购活动。</w:t>
      </w:r>
    </w:p>
    <w:p w14:paraId="2A76F864">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质疑答复导致成交、成交结果改变的，采购单位应当将有关情况书面报告本级财政部门。</w:t>
      </w:r>
    </w:p>
    <w:p w14:paraId="68EB4957">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2.质疑不成立的处理</w:t>
      </w:r>
    </w:p>
    <w:p w14:paraId="0852E72F">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若质疑不成立，或者成立未对成交、成交结果构成影响的，继续开展采购活动。                  </w:t>
      </w:r>
    </w:p>
    <w:p w14:paraId="52F57F2E">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 xml:space="preserve">3.虚假质疑的处理          </w:t>
      </w:r>
    </w:p>
    <w:p w14:paraId="09B7D7F6">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（1）供应商提出书面质疑必须有理、有据，不得恶意质疑或提交虚假质疑。否则，一经查实，采购单位有权依据政府采购的有关规定，报请政府采购监管部门对该供应商进行相应的行政处罚。</w:t>
      </w:r>
    </w:p>
    <w:p w14:paraId="19D4E346">
      <w:pPr>
        <w:pStyle w:val="9"/>
        <w:snapToGrid w:val="0"/>
        <w:spacing w:line="400" w:lineRule="atLeast"/>
        <w:ind w:left="0" w:leftChars="0" w:firstLine="560" w:firstLineChars="200"/>
        <w:contextualSpacing/>
        <w:rPr>
          <w:rFonts w:hint="eastAsia" w:ascii="仿宋" w:hAnsi="仿宋" w:eastAsia="仿宋" w:cs="仿宋"/>
          <w:sz w:val="28"/>
          <w:szCs w:val="28"/>
          <w:lang w:val="zh-CN"/>
        </w:rPr>
      </w:pPr>
      <w:r>
        <w:rPr>
          <w:rFonts w:hint="eastAsia" w:ascii="仿宋" w:hAnsi="仿宋" w:eastAsia="仿宋" w:cs="仿宋"/>
          <w:sz w:val="28"/>
          <w:szCs w:val="28"/>
          <w:lang w:val="zh-CN"/>
        </w:rPr>
        <w:t>（2）在江苏省范围内一年累计三次以上质疑，均查无实据的供应商将按失信行为记入该注册供应商诚信档案中。</w:t>
      </w:r>
    </w:p>
    <w:p w14:paraId="1634C068">
      <w:pPr>
        <w:pStyle w:val="9"/>
        <w:snapToGrid w:val="0"/>
        <w:spacing w:line="400" w:lineRule="atLeast"/>
        <w:ind w:left="0" w:leftChars="0"/>
        <w:contextualSpacing/>
        <w:jc w:val="center"/>
        <w:rPr>
          <w:rFonts w:ascii="仿宋_GB2312" w:eastAsia="仿宋_GB2312"/>
          <w:b/>
          <w:bCs/>
          <w:sz w:val="36"/>
          <w:szCs w:val="36"/>
          <w:lang w:val="zh-CN"/>
        </w:rPr>
      </w:pPr>
      <w:r>
        <w:rPr>
          <w:rFonts w:hint="eastAsia" w:ascii="仿宋" w:hAnsi="仿宋" w:eastAsia="仿宋" w:cs="仿宋"/>
          <w:sz w:val="28"/>
          <w:szCs w:val="28"/>
          <w:lang w:val="zh-CN"/>
        </w:rPr>
        <w:br w:type="page"/>
      </w:r>
      <w:r>
        <w:rPr>
          <w:rFonts w:hint="eastAsia" w:ascii="仿宋_GB2312" w:eastAsia="仿宋_GB2312"/>
          <w:b/>
          <w:bCs/>
          <w:sz w:val="36"/>
          <w:szCs w:val="36"/>
          <w:lang w:val="zh-CN"/>
        </w:rPr>
        <w:t>第七部分  响应文件组成</w:t>
      </w:r>
    </w:p>
    <w:p w14:paraId="70AE7F6A">
      <w:pPr>
        <w:pStyle w:val="4"/>
        <w:spacing w:line="240" w:lineRule="auto"/>
        <w:jc w:val="center"/>
      </w:pPr>
      <w:r>
        <w:rPr>
          <w:rFonts w:hint="eastAsia"/>
        </w:rPr>
        <w:t>投标资料目录</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2735"/>
        <w:gridCol w:w="2054"/>
        <w:gridCol w:w="1541"/>
        <w:gridCol w:w="2891"/>
      </w:tblGrid>
      <w:tr w14:paraId="38A74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4DEB956C">
            <w:pPr>
              <w:tabs>
                <w:tab w:val="left" w:pos="3375"/>
              </w:tabs>
              <w:autoSpaceDE w:val="0"/>
              <w:autoSpaceDN w:val="0"/>
              <w:adjustRightInd w:val="0"/>
              <w:snapToGrid w:val="0"/>
              <w:jc w:val="center"/>
              <w:rPr>
                <w:rFonts w:hint="eastAsia" w:ascii="宋体" w:hAnsi="宋体"/>
                <w:b/>
                <w:szCs w:val="21"/>
              </w:rPr>
            </w:pPr>
            <w:r>
              <w:rPr>
                <w:rFonts w:hint="eastAsia" w:ascii="宋体" w:hAnsi="宋体"/>
                <w:b/>
                <w:szCs w:val="21"/>
              </w:rPr>
              <w:t>序号</w:t>
            </w:r>
          </w:p>
        </w:tc>
        <w:tc>
          <w:tcPr>
            <w:tcW w:w="2735" w:type="dxa"/>
            <w:vAlign w:val="center"/>
          </w:tcPr>
          <w:p w14:paraId="208427C8">
            <w:pPr>
              <w:tabs>
                <w:tab w:val="left" w:pos="3375"/>
              </w:tabs>
              <w:autoSpaceDE w:val="0"/>
              <w:autoSpaceDN w:val="0"/>
              <w:adjustRightInd w:val="0"/>
              <w:snapToGrid w:val="0"/>
              <w:jc w:val="center"/>
              <w:rPr>
                <w:rFonts w:hint="eastAsia" w:ascii="宋体" w:hAnsi="宋体"/>
                <w:b/>
                <w:szCs w:val="21"/>
              </w:rPr>
            </w:pPr>
            <w:r>
              <w:rPr>
                <w:rFonts w:hint="eastAsia" w:ascii="宋体" w:hAnsi="宋体"/>
                <w:b/>
                <w:szCs w:val="21"/>
              </w:rPr>
              <w:t>招标文件要求</w:t>
            </w:r>
          </w:p>
        </w:tc>
        <w:tc>
          <w:tcPr>
            <w:tcW w:w="2054" w:type="dxa"/>
            <w:vAlign w:val="center"/>
          </w:tcPr>
          <w:p w14:paraId="1084799B">
            <w:pPr>
              <w:tabs>
                <w:tab w:val="left" w:pos="3375"/>
              </w:tabs>
              <w:autoSpaceDE w:val="0"/>
              <w:autoSpaceDN w:val="0"/>
              <w:adjustRightInd w:val="0"/>
              <w:snapToGrid w:val="0"/>
              <w:jc w:val="center"/>
              <w:rPr>
                <w:rFonts w:hint="eastAsia" w:ascii="宋体" w:hAnsi="宋体"/>
                <w:b/>
                <w:szCs w:val="21"/>
              </w:rPr>
            </w:pPr>
            <w:r>
              <w:rPr>
                <w:rFonts w:hint="eastAsia" w:ascii="宋体" w:hAnsi="宋体"/>
                <w:b/>
                <w:szCs w:val="21"/>
              </w:rPr>
              <w:t>证明材料名称</w:t>
            </w:r>
          </w:p>
        </w:tc>
        <w:tc>
          <w:tcPr>
            <w:tcW w:w="1541" w:type="dxa"/>
            <w:vAlign w:val="center"/>
          </w:tcPr>
          <w:p w14:paraId="049B9E7B">
            <w:pPr>
              <w:tabs>
                <w:tab w:val="left" w:pos="3375"/>
              </w:tabs>
              <w:autoSpaceDE w:val="0"/>
              <w:autoSpaceDN w:val="0"/>
              <w:adjustRightInd w:val="0"/>
              <w:snapToGrid w:val="0"/>
              <w:jc w:val="center"/>
              <w:rPr>
                <w:rFonts w:hint="eastAsia" w:ascii="宋体" w:hAnsi="宋体"/>
                <w:b/>
                <w:szCs w:val="21"/>
              </w:rPr>
            </w:pPr>
            <w:r>
              <w:rPr>
                <w:rFonts w:hint="eastAsia" w:ascii="宋体" w:hAnsi="宋体"/>
                <w:b/>
                <w:szCs w:val="21"/>
              </w:rPr>
              <w:t>响应文件位置</w:t>
            </w:r>
          </w:p>
        </w:tc>
        <w:tc>
          <w:tcPr>
            <w:tcW w:w="2891" w:type="dxa"/>
            <w:vAlign w:val="center"/>
          </w:tcPr>
          <w:p w14:paraId="784DE853">
            <w:pPr>
              <w:tabs>
                <w:tab w:val="left" w:pos="3375"/>
              </w:tabs>
              <w:autoSpaceDE w:val="0"/>
              <w:autoSpaceDN w:val="0"/>
              <w:adjustRightInd w:val="0"/>
              <w:snapToGrid w:val="0"/>
              <w:jc w:val="center"/>
              <w:rPr>
                <w:rFonts w:hint="eastAsia" w:ascii="宋体" w:hAnsi="宋体"/>
                <w:b/>
                <w:szCs w:val="21"/>
              </w:rPr>
            </w:pPr>
            <w:r>
              <w:rPr>
                <w:rFonts w:hint="eastAsia" w:ascii="宋体" w:hAnsi="宋体"/>
                <w:b/>
                <w:szCs w:val="21"/>
              </w:rPr>
              <w:t>说  明</w:t>
            </w:r>
          </w:p>
        </w:tc>
      </w:tr>
      <w:tr w14:paraId="11FF2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AF0C5E2">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1</w:t>
            </w:r>
          </w:p>
        </w:tc>
        <w:tc>
          <w:tcPr>
            <w:tcW w:w="2735" w:type="dxa"/>
            <w:vAlign w:val="center"/>
          </w:tcPr>
          <w:p w14:paraId="1240FB08">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关于资格的声明函</w:t>
            </w:r>
          </w:p>
        </w:tc>
        <w:tc>
          <w:tcPr>
            <w:tcW w:w="2054" w:type="dxa"/>
            <w:vAlign w:val="center"/>
          </w:tcPr>
          <w:p w14:paraId="1E495692">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31CD8C1F">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66D3913A">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03C2A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24595337">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2</w:t>
            </w:r>
          </w:p>
        </w:tc>
        <w:tc>
          <w:tcPr>
            <w:tcW w:w="2735" w:type="dxa"/>
            <w:vAlign w:val="center"/>
          </w:tcPr>
          <w:p w14:paraId="5805BF88">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法定代表人身份证明书</w:t>
            </w:r>
          </w:p>
        </w:tc>
        <w:tc>
          <w:tcPr>
            <w:tcW w:w="2054" w:type="dxa"/>
            <w:vAlign w:val="center"/>
          </w:tcPr>
          <w:p w14:paraId="30B36B3B">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5AC57CB1">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3E2C8684">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5A143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04AED0E">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3</w:t>
            </w:r>
          </w:p>
        </w:tc>
        <w:tc>
          <w:tcPr>
            <w:tcW w:w="2735" w:type="dxa"/>
            <w:vAlign w:val="center"/>
          </w:tcPr>
          <w:p w14:paraId="281747A5">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授权委托书</w:t>
            </w:r>
          </w:p>
        </w:tc>
        <w:tc>
          <w:tcPr>
            <w:tcW w:w="2054" w:type="dxa"/>
            <w:vAlign w:val="center"/>
          </w:tcPr>
          <w:p w14:paraId="4FE2E482">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47E860C4">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120F877C">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法定代表人参加投标的可不提供</w:t>
            </w:r>
          </w:p>
        </w:tc>
      </w:tr>
      <w:tr w14:paraId="5FEA3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5067857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4</w:t>
            </w:r>
          </w:p>
        </w:tc>
        <w:tc>
          <w:tcPr>
            <w:tcW w:w="2735" w:type="dxa"/>
            <w:vAlign w:val="center"/>
          </w:tcPr>
          <w:p w14:paraId="531BE56D">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营业执照</w:t>
            </w:r>
          </w:p>
        </w:tc>
        <w:tc>
          <w:tcPr>
            <w:tcW w:w="2054" w:type="dxa"/>
            <w:vAlign w:val="center"/>
          </w:tcPr>
          <w:p w14:paraId="6F84B726">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2CDEA61B">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476335E8">
            <w:pPr>
              <w:tabs>
                <w:tab w:val="left" w:pos="3375"/>
              </w:tabs>
              <w:autoSpaceDE w:val="0"/>
              <w:autoSpaceDN w:val="0"/>
              <w:adjustRightInd w:val="0"/>
              <w:snapToGrid w:val="0"/>
              <w:jc w:val="center"/>
              <w:rPr>
                <w:rFonts w:hint="eastAsia" w:ascii="宋体" w:hAnsi="宋体" w:cs="宋体"/>
                <w:szCs w:val="21"/>
              </w:rPr>
            </w:pPr>
          </w:p>
        </w:tc>
      </w:tr>
      <w:tr w14:paraId="30703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58A93334">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5</w:t>
            </w:r>
          </w:p>
        </w:tc>
        <w:tc>
          <w:tcPr>
            <w:tcW w:w="2735" w:type="dxa"/>
            <w:vAlign w:val="center"/>
          </w:tcPr>
          <w:p w14:paraId="384E5FFF">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依法缴纳税收和社会保障资金的相关材料</w:t>
            </w:r>
          </w:p>
        </w:tc>
        <w:tc>
          <w:tcPr>
            <w:tcW w:w="2054" w:type="dxa"/>
            <w:vAlign w:val="center"/>
          </w:tcPr>
          <w:p w14:paraId="0D7CE816">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18C9865A">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2D4194BA">
            <w:pPr>
              <w:tabs>
                <w:tab w:val="left" w:pos="3375"/>
              </w:tabs>
              <w:autoSpaceDE w:val="0"/>
              <w:autoSpaceDN w:val="0"/>
              <w:adjustRightInd w:val="0"/>
              <w:snapToGrid w:val="0"/>
              <w:jc w:val="center"/>
              <w:rPr>
                <w:rFonts w:hint="eastAsia" w:ascii="宋体" w:hAnsi="宋体" w:cs="宋体"/>
                <w:szCs w:val="21"/>
              </w:rPr>
            </w:pPr>
          </w:p>
        </w:tc>
      </w:tr>
      <w:tr w14:paraId="7C96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70C4E20F">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6</w:t>
            </w:r>
          </w:p>
        </w:tc>
        <w:tc>
          <w:tcPr>
            <w:tcW w:w="2735" w:type="dxa"/>
            <w:vAlign w:val="center"/>
          </w:tcPr>
          <w:p w14:paraId="42BB3AF7">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具备履行合同所必需设备和专业技术能力</w:t>
            </w:r>
          </w:p>
        </w:tc>
        <w:tc>
          <w:tcPr>
            <w:tcW w:w="2054" w:type="dxa"/>
            <w:vAlign w:val="center"/>
          </w:tcPr>
          <w:p w14:paraId="090A6C34">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35180576">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657967D6">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13BB1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7D8ECBF">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7</w:t>
            </w:r>
          </w:p>
        </w:tc>
        <w:tc>
          <w:tcPr>
            <w:tcW w:w="2735" w:type="dxa"/>
            <w:vAlign w:val="center"/>
          </w:tcPr>
          <w:p w14:paraId="7292E4DA">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参加政府采购活动前三年内在经营活动中没有重大违法记录的书面声明</w:t>
            </w:r>
          </w:p>
        </w:tc>
        <w:tc>
          <w:tcPr>
            <w:tcW w:w="2054" w:type="dxa"/>
            <w:vAlign w:val="center"/>
          </w:tcPr>
          <w:p w14:paraId="1659FFB3">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3206F86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2442E3C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30EF3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763A6EC6">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8</w:t>
            </w:r>
          </w:p>
        </w:tc>
        <w:tc>
          <w:tcPr>
            <w:tcW w:w="2735" w:type="dxa"/>
            <w:vAlign w:val="center"/>
          </w:tcPr>
          <w:p w14:paraId="5A07B3E8">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上一年度的财务状况报告（成立不满一年无需提供）</w:t>
            </w:r>
          </w:p>
        </w:tc>
        <w:tc>
          <w:tcPr>
            <w:tcW w:w="2054" w:type="dxa"/>
            <w:vAlign w:val="center"/>
          </w:tcPr>
          <w:p w14:paraId="7C9E21BD">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7231A69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77AFB789">
            <w:pPr>
              <w:tabs>
                <w:tab w:val="left" w:pos="3375"/>
              </w:tabs>
              <w:autoSpaceDE w:val="0"/>
              <w:autoSpaceDN w:val="0"/>
              <w:adjustRightInd w:val="0"/>
              <w:snapToGrid w:val="0"/>
              <w:jc w:val="center"/>
              <w:rPr>
                <w:rFonts w:hint="eastAsia" w:ascii="宋体" w:hAnsi="宋体" w:cs="宋体"/>
                <w:szCs w:val="21"/>
              </w:rPr>
            </w:pPr>
          </w:p>
        </w:tc>
      </w:tr>
      <w:tr w14:paraId="3BE20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12B5AFE2">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9</w:t>
            </w:r>
          </w:p>
        </w:tc>
        <w:tc>
          <w:tcPr>
            <w:tcW w:w="2735" w:type="dxa"/>
            <w:vAlign w:val="center"/>
          </w:tcPr>
          <w:p w14:paraId="55425B7E">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本项目的特定资格要求</w:t>
            </w:r>
          </w:p>
          <w:p w14:paraId="2CFA190D">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证明文件</w:t>
            </w:r>
          </w:p>
        </w:tc>
        <w:tc>
          <w:tcPr>
            <w:tcW w:w="2054" w:type="dxa"/>
            <w:vAlign w:val="center"/>
          </w:tcPr>
          <w:p w14:paraId="10931534">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589DF71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33128483">
            <w:pPr>
              <w:tabs>
                <w:tab w:val="left" w:pos="3375"/>
              </w:tabs>
              <w:autoSpaceDE w:val="0"/>
              <w:autoSpaceDN w:val="0"/>
              <w:adjustRightInd w:val="0"/>
              <w:snapToGrid w:val="0"/>
              <w:jc w:val="center"/>
              <w:rPr>
                <w:rFonts w:hint="eastAsia" w:ascii="宋体" w:hAnsi="宋体" w:cs="宋体"/>
                <w:szCs w:val="21"/>
              </w:rPr>
            </w:pPr>
          </w:p>
        </w:tc>
      </w:tr>
      <w:tr w14:paraId="42A71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95CFD82">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10</w:t>
            </w:r>
          </w:p>
        </w:tc>
        <w:tc>
          <w:tcPr>
            <w:tcW w:w="2735" w:type="dxa"/>
            <w:vAlign w:val="center"/>
          </w:tcPr>
          <w:p w14:paraId="2916C7F9">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技术部分正负偏离表</w:t>
            </w:r>
          </w:p>
        </w:tc>
        <w:tc>
          <w:tcPr>
            <w:tcW w:w="2054" w:type="dxa"/>
            <w:vAlign w:val="center"/>
          </w:tcPr>
          <w:p w14:paraId="65431ACB">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58705501">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50698FF1">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4D8FE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C83E600">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11</w:t>
            </w:r>
          </w:p>
        </w:tc>
        <w:tc>
          <w:tcPr>
            <w:tcW w:w="2735" w:type="dxa"/>
            <w:vAlign w:val="center"/>
          </w:tcPr>
          <w:p w14:paraId="1E3B4D43">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商务条款响应及偏离表</w:t>
            </w:r>
          </w:p>
        </w:tc>
        <w:tc>
          <w:tcPr>
            <w:tcW w:w="2054" w:type="dxa"/>
            <w:vAlign w:val="center"/>
          </w:tcPr>
          <w:p w14:paraId="12AC2428">
            <w:pPr>
              <w:tabs>
                <w:tab w:val="left" w:pos="3375"/>
              </w:tabs>
              <w:autoSpaceDE w:val="0"/>
              <w:autoSpaceDN w:val="0"/>
              <w:adjustRightInd w:val="0"/>
              <w:snapToGrid w:val="0"/>
              <w:jc w:val="center"/>
              <w:rPr>
                <w:rFonts w:hint="eastAsia" w:ascii="宋体" w:hAnsi="宋体" w:cs="宋体"/>
                <w:szCs w:val="21"/>
              </w:rPr>
            </w:pPr>
          </w:p>
        </w:tc>
        <w:tc>
          <w:tcPr>
            <w:tcW w:w="1541" w:type="dxa"/>
            <w:vAlign w:val="center"/>
          </w:tcPr>
          <w:p w14:paraId="42F8980C">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第    页</w:t>
            </w:r>
          </w:p>
        </w:tc>
        <w:tc>
          <w:tcPr>
            <w:tcW w:w="2891" w:type="dxa"/>
            <w:vAlign w:val="center"/>
          </w:tcPr>
          <w:p w14:paraId="063A5B64">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见附件</w:t>
            </w:r>
          </w:p>
        </w:tc>
      </w:tr>
      <w:tr w14:paraId="48A86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3590ABB4">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12</w:t>
            </w:r>
          </w:p>
        </w:tc>
        <w:tc>
          <w:tcPr>
            <w:tcW w:w="2735" w:type="dxa"/>
            <w:vAlign w:val="center"/>
          </w:tcPr>
          <w:p w14:paraId="3C3A2A16">
            <w:pPr>
              <w:tabs>
                <w:tab w:val="left" w:pos="3375"/>
              </w:tabs>
              <w:autoSpaceDE w:val="0"/>
              <w:autoSpaceDN w:val="0"/>
              <w:adjustRightInd w:val="0"/>
              <w:snapToGrid w:val="0"/>
              <w:jc w:val="center"/>
              <w:rPr>
                <w:rFonts w:hint="eastAsia" w:ascii="宋体" w:hAnsi="宋体" w:cs="宋体"/>
                <w:szCs w:val="21"/>
                <w:lang w:val="en-GB"/>
              </w:rPr>
            </w:pPr>
            <w:r>
              <w:rPr>
                <w:rFonts w:hint="eastAsia" w:ascii="宋体" w:hAnsi="宋体"/>
                <w:szCs w:val="21"/>
              </w:rPr>
              <w:t>商务技术方案</w:t>
            </w:r>
          </w:p>
        </w:tc>
        <w:tc>
          <w:tcPr>
            <w:tcW w:w="2054" w:type="dxa"/>
            <w:vAlign w:val="center"/>
          </w:tcPr>
          <w:p w14:paraId="24E49DCD">
            <w:pPr>
              <w:tabs>
                <w:tab w:val="left" w:pos="3375"/>
              </w:tabs>
              <w:autoSpaceDE w:val="0"/>
              <w:autoSpaceDN w:val="0"/>
              <w:adjustRightInd w:val="0"/>
              <w:snapToGrid w:val="0"/>
              <w:jc w:val="center"/>
              <w:rPr>
                <w:rFonts w:hint="eastAsia" w:ascii="宋体" w:hAnsi="宋体" w:cs="宋体"/>
                <w:szCs w:val="21"/>
                <w:lang w:val="en-GB"/>
              </w:rPr>
            </w:pPr>
          </w:p>
        </w:tc>
        <w:tc>
          <w:tcPr>
            <w:tcW w:w="1541" w:type="dxa"/>
            <w:vAlign w:val="center"/>
          </w:tcPr>
          <w:p w14:paraId="1B252547">
            <w:pPr>
              <w:tabs>
                <w:tab w:val="left" w:pos="3375"/>
              </w:tabs>
              <w:autoSpaceDE w:val="0"/>
              <w:autoSpaceDN w:val="0"/>
              <w:adjustRightInd w:val="0"/>
              <w:snapToGrid w:val="0"/>
              <w:jc w:val="center"/>
              <w:rPr>
                <w:rFonts w:hint="eastAsia" w:ascii="宋体" w:hAnsi="宋体" w:cs="宋体"/>
                <w:szCs w:val="21"/>
              </w:rPr>
            </w:pPr>
            <w:r>
              <w:rPr>
                <w:rFonts w:hint="eastAsia" w:ascii="宋体" w:hAnsi="宋体"/>
                <w:szCs w:val="21"/>
              </w:rPr>
              <w:t>第    页</w:t>
            </w:r>
          </w:p>
        </w:tc>
        <w:tc>
          <w:tcPr>
            <w:tcW w:w="2891" w:type="dxa"/>
            <w:vAlign w:val="center"/>
          </w:tcPr>
          <w:p w14:paraId="7140B63B">
            <w:pPr>
              <w:tabs>
                <w:tab w:val="left" w:pos="3375"/>
              </w:tabs>
              <w:autoSpaceDE w:val="0"/>
              <w:autoSpaceDN w:val="0"/>
              <w:adjustRightInd w:val="0"/>
              <w:snapToGrid w:val="0"/>
              <w:jc w:val="center"/>
              <w:rPr>
                <w:rFonts w:hint="eastAsia" w:ascii="宋体" w:hAnsi="宋体" w:cs="宋体"/>
                <w:szCs w:val="21"/>
              </w:rPr>
            </w:pPr>
            <w:r>
              <w:rPr>
                <w:rFonts w:hint="eastAsia" w:ascii="宋体" w:hAnsi="宋体"/>
                <w:szCs w:val="21"/>
              </w:rPr>
              <w:t>按照评分标准提供相应的材料及方案，文件目录前提供评分索引</w:t>
            </w:r>
          </w:p>
        </w:tc>
      </w:tr>
      <w:tr w14:paraId="672DD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27" w:type="dxa"/>
            <w:vAlign w:val="center"/>
          </w:tcPr>
          <w:p w14:paraId="045FE359">
            <w:pPr>
              <w:tabs>
                <w:tab w:val="left" w:pos="3375"/>
              </w:tabs>
              <w:autoSpaceDE w:val="0"/>
              <w:autoSpaceDN w:val="0"/>
              <w:adjustRightInd w:val="0"/>
              <w:snapToGrid w:val="0"/>
              <w:jc w:val="center"/>
              <w:rPr>
                <w:rFonts w:hint="eastAsia" w:ascii="宋体" w:hAnsi="宋体" w:cs="宋体"/>
                <w:szCs w:val="21"/>
              </w:rPr>
            </w:pPr>
            <w:r>
              <w:rPr>
                <w:rFonts w:hint="eastAsia" w:ascii="宋体" w:hAnsi="宋体" w:cs="宋体"/>
                <w:szCs w:val="21"/>
              </w:rPr>
              <w:t>13</w:t>
            </w:r>
          </w:p>
        </w:tc>
        <w:tc>
          <w:tcPr>
            <w:tcW w:w="2735" w:type="dxa"/>
            <w:vAlign w:val="center"/>
          </w:tcPr>
          <w:p w14:paraId="20EF41B8">
            <w:pPr>
              <w:tabs>
                <w:tab w:val="left" w:pos="3375"/>
              </w:tabs>
              <w:autoSpaceDE w:val="0"/>
              <w:autoSpaceDN w:val="0"/>
              <w:adjustRightInd w:val="0"/>
              <w:snapToGrid w:val="0"/>
              <w:jc w:val="center"/>
              <w:rPr>
                <w:rFonts w:hint="eastAsia" w:ascii="宋体" w:hAnsi="宋体"/>
                <w:szCs w:val="21"/>
                <w:lang w:val="en-GB"/>
              </w:rPr>
            </w:pPr>
            <w:r>
              <w:rPr>
                <w:rFonts w:hint="eastAsia" w:ascii="宋体" w:hAnsi="宋体"/>
              </w:rPr>
              <w:t>投标人认为需要提交的其他资料</w:t>
            </w:r>
          </w:p>
        </w:tc>
        <w:tc>
          <w:tcPr>
            <w:tcW w:w="2054" w:type="dxa"/>
            <w:vAlign w:val="center"/>
          </w:tcPr>
          <w:p w14:paraId="5E7A3A86">
            <w:pPr>
              <w:tabs>
                <w:tab w:val="left" w:pos="3375"/>
              </w:tabs>
              <w:autoSpaceDE w:val="0"/>
              <w:autoSpaceDN w:val="0"/>
              <w:adjustRightInd w:val="0"/>
              <w:snapToGrid w:val="0"/>
              <w:jc w:val="center"/>
              <w:rPr>
                <w:rFonts w:hint="eastAsia" w:ascii="宋体" w:hAnsi="宋体" w:cs="宋体"/>
                <w:szCs w:val="21"/>
                <w:lang w:val="en-GB"/>
              </w:rPr>
            </w:pPr>
          </w:p>
        </w:tc>
        <w:tc>
          <w:tcPr>
            <w:tcW w:w="1541" w:type="dxa"/>
            <w:vAlign w:val="center"/>
          </w:tcPr>
          <w:p w14:paraId="7D0B4518">
            <w:pPr>
              <w:tabs>
                <w:tab w:val="left" w:pos="3375"/>
              </w:tabs>
              <w:autoSpaceDE w:val="0"/>
              <w:autoSpaceDN w:val="0"/>
              <w:adjustRightInd w:val="0"/>
              <w:snapToGrid w:val="0"/>
              <w:jc w:val="center"/>
              <w:rPr>
                <w:rFonts w:hint="eastAsia" w:ascii="宋体" w:hAnsi="宋体"/>
                <w:szCs w:val="21"/>
              </w:rPr>
            </w:pPr>
            <w:r>
              <w:rPr>
                <w:rFonts w:hint="eastAsia" w:ascii="宋体" w:hAnsi="宋体"/>
                <w:szCs w:val="21"/>
              </w:rPr>
              <w:t>第    页</w:t>
            </w:r>
          </w:p>
        </w:tc>
        <w:tc>
          <w:tcPr>
            <w:tcW w:w="2891" w:type="dxa"/>
            <w:vAlign w:val="center"/>
          </w:tcPr>
          <w:p w14:paraId="2BCFE2B7">
            <w:pPr>
              <w:tabs>
                <w:tab w:val="left" w:pos="3375"/>
              </w:tabs>
              <w:autoSpaceDE w:val="0"/>
              <w:autoSpaceDN w:val="0"/>
              <w:adjustRightInd w:val="0"/>
              <w:snapToGrid w:val="0"/>
              <w:jc w:val="center"/>
              <w:rPr>
                <w:rFonts w:hint="eastAsia" w:ascii="宋体" w:hAnsi="宋体"/>
                <w:szCs w:val="21"/>
              </w:rPr>
            </w:pPr>
          </w:p>
        </w:tc>
      </w:tr>
      <w:tr w14:paraId="1C45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7057" w:type="dxa"/>
            <w:gridSpan w:val="4"/>
            <w:vAlign w:val="center"/>
          </w:tcPr>
          <w:p w14:paraId="724DCB5E">
            <w:pPr>
              <w:tabs>
                <w:tab w:val="left" w:pos="3375"/>
              </w:tabs>
              <w:autoSpaceDE w:val="0"/>
              <w:autoSpaceDN w:val="0"/>
              <w:adjustRightInd w:val="0"/>
              <w:snapToGrid w:val="0"/>
              <w:jc w:val="center"/>
              <w:rPr>
                <w:rFonts w:hint="eastAsia" w:ascii="宋体" w:hAnsi="宋体" w:cs="宋体"/>
                <w:b/>
                <w:bCs/>
                <w:sz w:val="24"/>
              </w:rPr>
            </w:pPr>
            <w:r>
              <w:rPr>
                <w:rFonts w:hint="eastAsia" w:ascii="宋体" w:hAnsi="宋体" w:cs="宋体"/>
                <w:b/>
                <w:bCs/>
                <w:sz w:val="24"/>
              </w:rPr>
              <w:t>价格响应文件</w:t>
            </w:r>
          </w:p>
        </w:tc>
        <w:tc>
          <w:tcPr>
            <w:tcW w:w="2891" w:type="dxa"/>
            <w:vAlign w:val="center"/>
          </w:tcPr>
          <w:p w14:paraId="2FCEB601">
            <w:pPr>
              <w:tabs>
                <w:tab w:val="left" w:pos="3375"/>
              </w:tabs>
              <w:autoSpaceDE w:val="0"/>
              <w:autoSpaceDN w:val="0"/>
              <w:adjustRightInd w:val="0"/>
              <w:snapToGrid w:val="0"/>
              <w:jc w:val="center"/>
              <w:rPr>
                <w:rFonts w:hint="eastAsia" w:ascii="宋体" w:hAnsi="宋体" w:cs="宋体"/>
                <w:b/>
                <w:bCs/>
                <w:sz w:val="24"/>
              </w:rPr>
            </w:pPr>
            <w:r>
              <w:rPr>
                <w:rFonts w:hint="eastAsia" w:ascii="宋体" w:hAnsi="宋体" w:cs="宋体"/>
                <w:b/>
                <w:bCs/>
                <w:sz w:val="24"/>
              </w:rPr>
              <w:t>见附件</w:t>
            </w:r>
          </w:p>
        </w:tc>
      </w:tr>
    </w:tbl>
    <w:p w14:paraId="29BF2226">
      <w:pPr>
        <w:rPr>
          <w:rFonts w:hint="eastAsia" w:ascii="宋体" w:hAnsi="宋体"/>
          <w:bCs/>
          <w:szCs w:val="21"/>
        </w:rPr>
      </w:pPr>
    </w:p>
    <w:p w14:paraId="4685078D">
      <w:pPr>
        <w:spacing w:line="440" w:lineRule="atLeast"/>
        <w:rPr>
          <w:rFonts w:hint="eastAsia" w:ascii="宋体" w:hAnsi="宋体" w:cs="宋体"/>
          <w:szCs w:val="21"/>
        </w:rPr>
      </w:pPr>
      <w:r>
        <w:rPr>
          <w:rFonts w:hint="eastAsia" w:ascii="宋体" w:hAnsi="宋体" w:cs="宋体"/>
          <w:szCs w:val="21"/>
        </w:rPr>
        <w:t>《授权书》及相关《</w:t>
      </w:r>
      <w:r>
        <w:rPr>
          <w:rFonts w:hint="eastAsia" w:ascii="宋体" w:hAnsi="宋体" w:cs="宋体"/>
          <w:szCs w:val="21"/>
          <w:lang w:val="en-GB"/>
        </w:rPr>
        <w:t>承诺函》、《</w:t>
      </w:r>
      <w:r>
        <w:rPr>
          <w:rFonts w:hint="eastAsia" w:ascii="宋体" w:hAnsi="宋体"/>
          <w:szCs w:val="21"/>
        </w:rPr>
        <w:t>价格响应文件</w:t>
      </w:r>
      <w:r>
        <w:rPr>
          <w:rFonts w:hint="eastAsia" w:ascii="宋体" w:hAnsi="宋体" w:cs="宋体"/>
          <w:szCs w:val="21"/>
          <w:lang w:val="en-GB"/>
        </w:rPr>
        <w:t>》等格</w:t>
      </w:r>
      <w:r>
        <w:rPr>
          <w:rFonts w:hint="eastAsia" w:ascii="宋体" w:hAnsi="宋体" w:cs="宋体"/>
          <w:szCs w:val="21"/>
        </w:rPr>
        <w:t>式详见附件。</w:t>
      </w:r>
    </w:p>
    <w:p w14:paraId="6CE69DD0">
      <w:pPr>
        <w:pStyle w:val="4"/>
        <w:rPr>
          <w:rFonts w:hint="eastAsia" w:ascii="黑体" w:hAnsi="黑体"/>
          <w:sz w:val="24"/>
          <w:szCs w:val="24"/>
        </w:rPr>
      </w:pPr>
      <w:r>
        <w:rPr>
          <w:rFonts w:hint="eastAsia"/>
          <w:sz w:val="28"/>
        </w:rPr>
        <w:br w:type="page"/>
      </w:r>
      <w:r>
        <w:rPr>
          <w:rFonts w:hint="eastAsia" w:ascii="黑体" w:hAnsi="黑体"/>
          <w:sz w:val="24"/>
          <w:szCs w:val="24"/>
        </w:rPr>
        <w:t>附件：</w:t>
      </w:r>
    </w:p>
    <w:p w14:paraId="32E474A8">
      <w:pPr>
        <w:pStyle w:val="48"/>
        <w:widowControl/>
        <w:snapToGrid w:val="0"/>
        <w:spacing w:line="300" w:lineRule="auto"/>
        <w:ind w:firstLine="0" w:firstLineChars="0"/>
        <w:jc w:val="center"/>
        <w:rPr>
          <w:rFonts w:hint="eastAsia" w:ascii="宋体" w:eastAsia="宋体" w:cs="宋体"/>
          <w:b/>
          <w:sz w:val="36"/>
          <w:szCs w:val="36"/>
        </w:rPr>
      </w:pPr>
      <w:r>
        <w:rPr>
          <w:rFonts w:ascii="宋体" w:eastAsia="宋体" w:cs="宋体"/>
          <w:b/>
          <w:sz w:val="36"/>
          <w:szCs w:val="36"/>
        </w:rPr>
        <w:t>关于资格的声明函</w:t>
      </w:r>
    </w:p>
    <w:p w14:paraId="74D66F71">
      <w:pPr>
        <w:spacing w:line="360" w:lineRule="auto"/>
        <w:jc w:val="center"/>
        <w:rPr>
          <w:rFonts w:hint="eastAsia" w:ascii="宋体" w:hAnsi="宋体" w:cs="宋体"/>
          <w:b/>
          <w:szCs w:val="21"/>
        </w:rPr>
      </w:pPr>
    </w:p>
    <w:p w14:paraId="20DE6E82">
      <w:pPr>
        <w:pStyle w:val="16"/>
        <w:snapToGrid w:val="0"/>
        <w:spacing w:line="300" w:lineRule="auto"/>
        <w:rPr>
          <w:rFonts w:hint="eastAsia" w:ascii="仿宋_GB2312" w:eastAsia="仿宋_GB2312" w:cs="仿宋_GB2312"/>
          <w:b/>
          <w:sz w:val="28"/>
          <w:szCs w:val="28"/>
        </w:rPr>
      </w:pPr>
      <w:r>
        <w:rPr>
          <w:rFonts w:hint="eastAsia" w:ascii="仿宋_GB2312" w:eastAsia="仿宋_GB2312" w:cs="仿宋_GB2312"/>
          <w:b/>
          <w:sz w:val="28"/>
          <w:szCs w:val="28"/>
        </w:rPr>
        <w:t>南通市海门区人民代表大会常务委员会办公室：</w:t>
      </w:r>
    </w:p>
    <w:p w14:paraId="4C033F78">
      <w:pPr>
        <w:pStyle w:val="16"/>
        <w:snapToGrid w:val="0"/>
        <w:spacing w:line="300" w:lineRule="auto"/>
        <w:ind w:firstLine="560" w:firstLineChars="200"/>
        <w:rPr>
          <w:rFonts w:hint="eastAsia" w:ascii="仿宋_GB2312" w:eastAsia="仿宋_GB2312" w:cs="仿宋_GB2312"/>
          <w:sz w:val="28"/>
          <w:szCs w:val="28"/>
        </w:rPr>
      </w:pPr>
      <w:r>
        <w:rPr>
          <w:rFonts w:hint="eastAsia" w:ascii="仿宋_GB2312" w:eastAsia="仿宋_GB2312" w:cs="仿宋_GB2312"/>
          <w:sz w:val="28"/>
          <w:szCs w:val="28"/>
        </w:rPr>
        <w:t>我公司认真对照招标公告，符合贵方提出的资格要求，自愿报名参加投标，并保证提供的资料文件是准确的和真实的。提供虚假材料的愿意承担相应的法律责任。</w:t>
      </w:r>
      <w:r>
        <w:rPr>
          <w:rFonts w:ascii="仿宋_GB2312" w:eastAsia="仿宋_GB2312" w:cs="仿宋_GB2312"/>
          <w:sz w:val="28"/>
          <w:szCs w:val="28"/>
        </w:rPr>
        <w:tab/>
      </w:r>
    </w:p>
    <w:p w14:paraId="3AF698D4">
      <w:pPr>
        <w:pStyle w:val="16"/>
        <w:widowControl w:val="0"/>
        <w:snapToGrid w:val="0"/>
        <w:spacing w:before="0" w:beforeAutospacing="0" w:after="0" w:afterAutospacing="0" w:line="300" w:lineRule="auto"/>
        <w:ind w:firstLine="280" w:firstLineChars="100"/>
        <w:rPr>
          <w:rFonts w:hint="eastAsia" w:ascii="仿宋_GB2312" w:eastAsia="仿宋_GB2312" w:cs="仿宋_GB2312"/>
          <w:sz w:val="28"/>
          <w:szCs w:val="28"/>
        </w:rPr>
      </w:pPr>
      <w:r>
        <w:rPr>
          <w:rFonts w:hint="eastAsia" w:ascii="仿宋_GB2312" w:hAnsi="Courier New" w:eastAsia="仿宋_GB2312" w:cs="仿宋_GB2312"/>
          <w:kern w:val="2"/>
          <w:sz w:val="28"/>
          <w:szCs w:val="28"/>
          <w:lang w:bidi="ar"/>
        </w:rPr>
        <w:t xml:space="preserve">   附：公司投标之前3年内有无受各级管理部门的处分或处罚（含其授权服务的子公司、分公司等），如果不主动填报而被事后发现的，将取消其投标资格，并按有关规定从重处理</w:t>
      </w:r>
      <w:r>
        <w:rPr>
          <w:rFonts w:hint="eastAsia" w:ascii="仿宋_GB2312" w:eastAsia="仿宋_GB2312" w:cs="仿宋_GB2312"/>
          <w:kern w:val="2"/>
          <w:sz w:val="28"/>
          <w:szCs w:val="28"/>
          <w:lang w:bidi="ar"/>
        </w:rPr>
        <w:t>；没有受处罚的投标人，要填写“没有受到任何处罚”，此表不能空白</w:t>
      </w:r>
      <w:r>
        <w:rPr>
          <w:rFonts w:hint="eastAsia" w:ascii="仿宋_GB2312" w:hAnsi="Courier New" w:eastAsia="仿宋_GB2312" w:cs="仿宋_GB2312"/>
          <w:kern w:val="2"/>
          <w:sz w:val="28"/>
          <w:szCs w:val="28"/>
          <w:lang w:bidi="ar"/>
        </w:rPr>
        <w:t>。</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2977"/>
        <w:gridCol w:w="2977"/>
        <w:gridCol w:w="1276"/>
      </w:tblGrid>
      <w:tr w14:paraId="11CC9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14:paraId="35042D59">
            <w:pPr>
              <w:pStyle w:val="16"/>
              <w:snapToGrid w:val="0"/>
              <w:spacing w:line="300" w:lineRule="auto"/>
              <w:jc w:val="center"/>
              <w:rPr>
                <w:rFonts w:hint="eastAsia" w:ascii="仿宋_GB2312" w:eastAsia="仿宋_GB2312" w:cs="仿宋_GB2312"/>
                <w:b/>
                <w:kern w:val="2"/>
                <w:sz w:val="28"/>
                <w:szCs w:val="28"/>
              </w:rPr>
            </w:pPr>
            <w:r>
              <w:rPr>
                <w:rFonts w:hint="eastAsia" w:ascii="仿宋_GB2312" w:eastAsia="仿宋_GB2312" w:cs="仿宋_GB2312"/>
                <w:b/>
                <w:kern w:val="2"/>
                <w:sz w:val="28"/>
                <w:szCs w:val="28"/>
              </w:rPr>
              <w:t>时 间</w:t>
            </w:r>
          </w:p>
        </w:tc>
        <w:tc>
          <w:tcPr>
            <w:tcW w:w="2977" w:type="dxa"/>
            <w:tcBorders>
              <w:top w:val="single" w:color="auto" w:sz="4" w:space="0"/>
              <w:left w:val="single" w:color="auto" w:sz="4" w:space="0"/>
              <w:bottom w:val="single" w:color="auto" w:sz="4" w:space="0"/>
              <w:right w:val="single" w:color="auto" w:sz="4" w:space="0"/>
            </w:tcBorders>
            <w:vAlign w:val="center"/>
          </w:tcPr>
          <w:p w14:paraId="7501A0AD">
            <w:pPr>
              <w:pStyle w:val="16"/>
              <w:snapToGrid w:val="0"/>
              <w:spacing w:line="300" w:lineRule="auto"/>
              <w:jc w:val="center"/>
              <w:rPr>
                <w:rFonts w:hint="eastAsia" w:ascii="仿宋_GB2312" w:eastAsia="仿宋_GB2312" w:cs="仿宋_GB2312"/>
                <w:b/>
                <w:kern w:val="2"/>
                <w:sz w:val="28"/>
                <w:szCs w:val="28"/>
              </w:rPr>
            </w:pPr>
            <w:r>
              <w:rPr>
                <w:rFonts w:hint="eastAsia" w:ascii="仿宋_GB2312" w:eastAsia="仿宋_GB2312" w:cs="仿宋_GB2312"/>
                <w:b/>
                <w:kern w:val="2"/>
                <w:sz w:val="28"/>
                <w:szCs w:val="28"/>
              </w:rPr>
              <w:t>受处理的原因</w:t>
            </w:r>
          </w:p>
          <w:p w14:paraId="368EF25F">
            <w:pPr>
              <w:pStyle w:val="16"/>
              <w:snapToGrid w:val="0"/>
              <w:spacing w:line="300" w:lineRule="auto"/>
              <w:jc w:val="center"/>
              <w:rPr>
                <w:rFonts w:hint="eastAsia" w:ascii="仿宋_GB2312" w:eastAsia="仿宋_GB2312" w:cs="仿宋_GB2312"/>
                <w:kern w:val="2"/>
                <w:sz w:val="28"/>
                <w:szCs w:val="28"/>
              </w:rPr>
            </w:pPr>
            <w:r>
              <w:rPr>
                <w:rFonts w:hint="eastAsia" w:ascii="仿宋_GB2312" w:eastAsia="仿宋_GB2312" w:cs="仿宋_GB2312"/>
                <w:kern w:val="2"/>
                <w:sz w:val="28"/>
                <w:szCs w:val="28"/>
              </w:rPr>
              <w:t>（如在政府采购活动中受处理的，注明采购项目名称及处理原因）</w:t>
            </w:r>
          </w:p>
        </w:tc>
        <w:tc>
          <w:tcPr>
            <w:tcW w:w="2977" w:type="dxa"/>
            <w:tcBorders>
              <w:top w:val="single" w:color="auto" w:sz="4" w:space="0"/>
              <w:left w:val="single" w:color="auto" w:sz="4" w:space="0"/>
              <w:bottom w:val="single" w:color="auto" w:sz="4" w:space="0"/>
              <w:right w:val="single" w:color="auto" w:sz="4" w:space="0"/>
            </w:tcBorders>
            <w:vAlign w:val="center"/>
          </w:tcPr>
          <w:p w14:paraId="41EB4BE2">
            <w:pPr>
              <w:pStyle w:val="16"/>
              <w:snapToGrid w:val="0"/>
              <w:spacing w:line="300" w:lineRule="auto"/>
              <w:jc w:val="center"/>
              <w:rPr>
                <w:rFonts w:hint="eastAsia" w:ascii="仿宋_GB2312" w:eastAsia="仿宋_GB2312" w:cs="仿宋_GB2312"/>
                <w:b/>
                <w:kern w:val="2"/>
                <w:sz w:val="28"/>
                <w:szCs w:val="28"/>
              </w:rPr>
            </w:pPr>
            <w:r>
              <w:rPr>
                <w:rFonts w:hint="eastAsia" w:ascii="仿宋_GB2312" w:eastAsia="仿宋_GB2312" w:cs="仿宋_GB2312"/>
                <w:b/>
                <w:kern w:val="2"/>
                <w:sz w:val="28"/>
                <w:szCs w:val="28"/>
              </w:rPr>
              <w:t>处理的内容</w:t>
            </w:r>
          </w:p>
          <w:p w14:paraId="7956587D">
            <w:pPr>
              <w:pStyle w:val="16"/>
              <w:snapToGrid w:val="0"/>
              <w:spacing w:line="300" w:lineRule="auto"/>
              <w:jc w:val="center"/>
              <w:rPr>
                <w:rFonts w:hint="eastAsia" w:ascii="仿宋_GB2312" w:eastAsia="仿宋_GB2312" w:cs="仿宋_GB2312"/>
                <w:kern w:val="2"/>
                <w:sz w:val="28"/>
                <w:szCs w:val="28"/>
              </w:rPr>
            </w:pPr>
            <w:r>
              <w:rPr>
                <w:rFonts w:hint="eastAsia" w:ascii="仿宋_GB2312" w:eastAsia="仿宋_GB2312" w:cs="仿宋_GB2312"/>
                <w:kern w:val="2"/>
                <w:sz w:val="28"/>
                <w:szCs w:val="28"/>
              </w:rPr>
              <w:t>（如受到禁止一段时期参加某种项目的政府采购活动的，要说明解禁时间）</w:t>
            </w:r>
          </w:p>
        </w:tc>
        <w:tc>
          <w:tcPr>
            <w:tcW w:w="1276" w:type="dxa"/>
            <w:tcBorders>
              <w:top w:val="single" w:color="auto" w:sz="4" w:space="0"/>
              <w:left w:val="single" w:color="auto" w:sz="4" w:space="0"/>
              <w:bottom w:val="single" w:color="auto" w:sz="4" w:space="0"/>
              <w:right w:val="single" w:color="auto" w:sz="4" w:space="0"/>
            </w:tcBorders>
            <w:vAlign w:val="center"/>
          </w:tcPr>
          <w:p w14:paraId="1D65CFCD">
            <w:pPr>
              <w:pStyle w:val="16"/>
              <w:snapToGrid w:val="0"/>
              <w:spacing w:line="300" w:lineRule="auto"/>
              <w:jc w:val="center"/>
              <w:rPr>
                <w:rFonts w:hint="eastAsia" w:ascii="仿宋_GB2312" w:eastAsia="仿宋_GB2312" w:cs="仿宋_GB2312"/>
                <w:b/>
                <w:kern w:val="2"/>
                <w:sz w:val="28"/>
                <w:szCs w:val="28"/>
              </w:rPr>
            </w:pPr>
            <w:r>
              <w:rPr>
                <w:rFonts w:hint="eastAsia" w:ascii="仿宋_GB2312" w:eastAsia="仿宋_GB2312" w:cs="仿宋_GB2312"/>
                <w:b/>
                <w:kern w:val="2"/>
                <w:sz w:val="28"/>
                <w:szCs w:val="28"/>
              </w:rPr>
              <w:t>备 注</w:t>
            </w:r>
          </w:p>
        </w:tc>
      </w:tr>
      <w:tr w14:paraId="1327A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1242" w:type="dxa"/>
            <w:tcBorders>
              <w:top w:val="single" w:color="auto" w:sz="4" w:space="0"/>
              <w:left w:val="single" w:color="auto" w:sz="4" w:space="0"/>
              <w:bottom w:val="single" w:color="auto" w:sz="4" w:space="0"/>
              <w:right w:val="single" w:color="auto" w:sz="4" w:space="0"/>
            </w:tcBorders>
          </w:tcPr>
          <w:p w14:paraId="4EC271C9">
            <w:pPr>
              <w:pStyle w:val="16"/>
              <w:snapToGrid w:val="0"/>
              <w:spacing w:line="300" w:lineRule="auto"/>
              <w:rPr>
                <w:rFonts w:hint="eastAsia" w:ascii="仿宋_GB2312" w:eastAsia="仿宋_GB2312" w:cs="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tcPr>
          <w:p w14:paraId="45E9D2F2">
            <w:pPr>
              <w:pStyle w:val="16"/>
              <w:snapToGrid w:val="0"/>
              <w:spacing w:line="300" w:lineRule="auto"/>
              <w:rPr>
                <w:rFonts w:hint="eastAsia" w:ascii="仿宋_GB2312" w:eastAsia="仿宋_GB2312" w:cs="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tcPr>
          <w:p w14:paraId="57C75D69">
            <w:pPr>
              <w:pStyle w:val="16"/>
              <w:snapToGrid w:val="0"/>
              <w:spacing w:line="300" w:lineRule="auto"/>
              <w:rPr>
                <w:rFonts w:hint="eastAsia" w:ascii="仿宋_GB2312" w:eastAsia="仿宋_GB2312" w:cs="仿宋_GB2312"/>
                <w:kern w:val="2"/>
                <w:sz w:val="28"/>
                <w:szCs w:val="28"/>
              </w:rPr>
            </w:pPr>
          </w:p>
        </w:tc>
        <w:tc>
          <w:tcPr>
            <w:tcW w:w="1276" w:type="dxa"/>
            <w:tcBorders>
              <w:top w:val="single" w:color="auto" w:sz="4" w:space="0"/>
              <w:left w:val="single" w:color="auto" w:sz="4" w:space="0"/>
              <w:bottom w:val="single" w:color="auto" w:sz="4" w:space="0"/>
              <w:right w:val="single" w:color="auto" w:sz="4" w:space="0"/>
            </w:tcBorders>
          </w:tcPr>
          <w:p w14:paraId="7540F66A">
            <w:pPr>
              <w:pStyle w:val="16"/>
              <w:snapToGrid w:val="0"/>
              <w:spacing w:line="300" w:lineRule="auto"/>
              <w:rPr>
                <w:rFonts w:hint="eastAsia" w:ascii="仿宋_GB2312" w:eastAsia="仿宋_GB2312" w:cs="仿宋_GB2312"/>
                <w:kern w:val="2"/>
                <w:sz w:val="28"/>
                <w:szCs w:val="28"/>
              </w:rPr>
            </w:pPr>
          </w:p>
        </w:tc>
      </w:tr>
    </w:tbl>
    <w:p w14:paraId="67F583B5"/>
    <w:p w14:paraId="15A3E5EC">
      <w:pPr>
        <w:pStyle w:val="16"/>
        <w:widowControl w:val="0"/>
        <w:spacing w:before="0" w:beforeAutospacing="0" w:after="0" w:afterAutospacing="0" w:line="560" w:lineRule="exact"/>
        <w:jc w:val="center"/>
        <w:rPr>
          <w:rFonts w:hAnsi="Times New Roman"/>
          <w:b/>
          <w:sz w:val="32"/>
          <w:szCs w:val="32"/>
        </w:rPr>
      </w:pPr>
      <w:r>
        <w:rPr>
          <w:rFonts w:hint="eastAsia" w:ascii="黑体" w:hAnsi="黑体" w:cs="黑体"/>
          <w:sz w:val="30"/>
          <w:szCs w:val="30"/>
          <w:lang w:val="en-GB"/>
        </w:rPr>
        <w:br w:type="page"/>
      </w:r>
      <w:r>
        <w:rPr>
          <w:rFonts w:hint="eastAsia" w:hAnsi="Times New Roman"/>
          <w:b/>
          <w:kern w:val="2"/>
          <w:sz w:val="32"/>
          <w:szCs w:val="32"/>
          <w:lang w:bidi="ar"/>
        </w:rPr>
        <w:t>法定代表人身份证明</w:t>
      </w:r>
    </w:p>
    <w:p w14:paraId="61CACB9E">
      <w:pPr>
        <w:spacing w:line="480" w:lineRule="exact"/>
        <w:rPr>
          <w:rFonts w:eastAsia="仿宋_GB2312"/>
          <w:sz w:val="24"/>
        </w:rPr>
      </w:pPr>
    </w:p>
    <w:p w14:paraId="0B7281C4">
      <w:pPr>
        <w:spacing w:line="480" w:lineRule="exact"/>
        <w:ind w:firstLine="480" w:firstLineChars="200"/>
        <w:rPr>
          <w:rFonts w:eastAsia="仿宋_GB2312"/>
          <w:sz w:val="24"/>
        </w:rPr>
      </w:pPr>
      <w:r>
        <w:rPr>
          <w:rFonts w:eastAsia="仿宋_GB2312"/>
          <w:sz w:val="24"/>
          <w:highlight w:val="white"/>
          <w:u w:val="single"/>
          <w:lang w:bidi="ar"/>
        </w:rPr>
        <w:t xml:space="preserve">        </w:t>
      </w:r>
      <w:r>
        <w:rPr>
          <w:rFonts w:hint="eastAsia" w:eastAsia="仿宋_GB2312" w:cs="仿宋_GB2312"/>
          <w:sz w:val="24"/>
          <w:highlight w:val="white"/>
          <w:lang w:bidi="ar"/>
        </w:rPr>
        <w:t>先生</w:t>
      </w:r>
      <w:r>
        <w:rPr>
          <w:rFonts w:eastAsia="仿宋_GB2312"/>
          <w:sz w:val="24"/>
          <w:highlight w:val="white"/>
          <w:lang w:bidi="ar"/>
        </w:rPr>
        <w:t>/</w:t>
      </w:r>
      <w:r>
        <w:rPr>
          <w:rFonts w:hint="eastAsia" w:eastAsia="仿宋_GB2312" w:cs="仿宋_GB2312"/>
          <w:sz w:val="24"/>
          <w:highlight w:val="white"/>
          <w:lang w:bidi="ar"/>
        </w:rPr>
        <w:t>女士：</w:t>
      </w:r>
      <w:r>
        <w:rPr>
          <w:rFonts w:eastAsia="仿宋_GB2312"/>
          <w:sz w:val="24"/>
          <w:highlight w:val="white"/>
          <w:lang w:bidi="ar"/>
        </w:rPr>
        <w:t xml:space="preserve"> </w:t>
      </w:r>
      <w:r>
        <w:rPr>
          <w:rFonts w:hint="eastAsia" w:eastAsia="仿宋_GB2312" w:cs="仿宋_GB2312"/>
          <w:sz w:val="24"/>
          <w:highlight w:val="white"/>
          <w:lang w:bidi="ar"/>
        </w:rPr>
        <w:t>现任我单位</w:t>
      </w:r>
      <w:r>
        <w:rPr>
          <w:rFonts w:eastAsia="仿宋_GB2312"/>
          <w:sz w:val="24"/>
          <w:highlight w:val="white"/>
          <w:u w:val="single"/>
          <w:lang w:bidi="ar"/>
        </w:rPr>
        <w:t xml:space="preserve">        </w:t>
      </w:r>
      <w:r>
        <w:rPr>
          <w:rFonts w:hint="eastAsia" w:eastAsia="仿宋_GB2312" w:cs="仿宋_GB2312"/>
          <w:sz w:val="24"/>
          <w:highlight w:val="white"/>
          <w:lang w:bidi="ar"/>
        </w:rPr>
        <w:t>职务，为法定代表人，特此证明。</w:t>
      </w:r>
    </w:p>
    <w:p w14:paraId="6BBCA3C8">
      <w:pPr>
        <w:spacing w:line="480" w:lineRule="exact"/>
        <w:ind w:firstLine="480"/>
        <w:rPr>
          <w:rFonts w:eastAsia="仿宋_GB2312"/>
          <w:sz w:val="24"/>
          <w:u w:val="single"/>
        </w:rPr>
      </w:pPr>
      <w:r>
        <w:rPr>
          <w:rFonts w:hint="eastAsia" w:eastAsia="仿宋_GB2312" w:cs="仿宋_GB2312"/>
          <w:sz w:val="24"/>
          <w:lang w:bidi="ar"/>
        </w:rPr>
        <w:t>身份证号码：</w:t>
      </w:r>
      <w:r>
        <w:rPr>
          <w:rFonts w:eastAsia="仿宋_GB2312"/>
          <w:sz w:val="24"/>
          <w:highlight w:val="white"/>
          <w:u w:val="single"/>
          <w:lang w:bidi="ar"/>
        </w:rPr>
        <w:t xml:space="preserve">                                               </w:t>
      </w:r>
    </w:p>
    <w:p w14:paraId="2BDEDB76">
      <w:pPr>
        <w:spacing w:line="480" w:lineRule="exact"/>
        <w:ind w:firstLine="480"/>
        <w:rPr>
          <w:rFonts w:eastAsia="仿宋_GB2312"/>
          <w:sz w:val="24"/>
        </w:rPr>
      </w:pPr>
    </w:p>
    <w:p w14:paraId="32D2F561">
      <w:pPr>
        <w:pStyle w:val="66"/>
        <w:widowControl/>
        <w:spacing w:line="600" w:lineRule="exact"/>
        <w:rPr>
          <w:rFonts w:ascii="仿宋_GB2312" w:eastAsia="仿宋_GB2312" w:cs="仿宋_GB2312"/>
          <w:b/>
          <w:sz w:val="24"/>
        </w:rPr>
      </w:pPr>
      <w:r>
        <w:rPr>
          <w:rFonts w:hint="eastAsia" w:ascii="仿宋_GB2312" w:eastAsia="仿宋_GB2312" w:cs="仿宋_GB2312"/>
          <w:b/>
          <w:sz w:val="24"/>
        </w:rPr>
        <w:t>注：提供法定代表人的身份证复印件盖公章</w:t>
      </w:r>
    </w:p>
    <w:p w14:paraId="5518F7D6">
      <w:pPr>
        <w:spacing w:line="480" w:lineRule="exact"/>
        <w:ind w:firstLine="480" w:firstLineChars="200"/>
        <w:rPr>
          <w:rFonts w:eastAsia="仿宋_GB2312"/>
          <w:sz w:val="24"/>
        </w:rPr>
      </w:pPr>
    </w:p>
    <w:p w14:paraId="059CBA69"/>
    <w:p w14:paraId="79E0DF80">
      <w:pPr>
        <w:pStyle w:val="60"/>
        <w:widowControl/>
        <w:spacing w:line="560" w:lineRule="exact"/>
        <w:jc w:val="center"/>
        <w:rPr>
          <w:rFonts w:ascii="宋体" w:cs="宋体"/>
          <w:b/>
          <w:sz w:val="32"/>
          <w:szCs w:val="32"/>
        </w:rPr>
      </w:pPr>
      <w:r>
        <w:rPr>
          <w:rFonts w:hint="eastAsia" w:ascii="黑体" w:hAnsi="黑体" w:cs="黑体"/>
          <w:sz w:val="30"/>
          <w:szCs w:val="30"/>
          <w:lang w:val="en-GB"/>
        </w:rPr>
        <w:br w:type="page"/>
      </w:r>
      <w:r>
        <w:rPr>
          <w:rFonts w:hint="eastAsia" w:ascii="宋体" w:cs="宋体"/>
          <w:b/>
          <w:sz w:val="32"/>
          <w:szCs w:val="32"/>
        </w:rPr>
        <w:t>授权委托书</w:t>
      </w:r>
    </w:p>
    <w:p w14:paraId="08A26815">
      <w:pPr>
        <w:pStyle w:val="60"/>
        <w:widowControl/>
        <w:spacing w:line="600" w:lineRule="exact"/>
        <w:rPr>
          <w:rFonts w:hint="eastAsia" w:ascii="方正大标宋简体" w:hAnsi="方正大标宋简体" w:eastAsia="方正大标宋简体" w:cs="方正大标宋简体"/>
          <w:sz w:val="32"/>
        </w:rPr>
      </w:pPr>
    </w:p>
    <w:p w14:paraId="33F6EE31">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本授权书声明：____________（供应商名称）授权________________（被授权人的姓名）为我方就___________________________________项目采购活动的合法代理人，以本公司名义全权处理一切与该项目采购有关的事务。</w:t>
      </w:r>
    </w:p>
    <w:p w14:paraId="527F704F">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本授权书于______年____月____日起生效，特此声明。</w:t>
      </w:r>
    </w:p>
    <w:p w14:paraId="5950477E">
      <w:pPr>
        <w:pStyle w:val="61"/>
        <w:widowControl/>
        <w:tabs>
          <w:tab w:val="left" w:pos="360"/>
        </w:tabs>
        <w:spacing w:line="360" w:lineRule="auto"/>
        <w:ind w:firstLine="480"/>
        <w:rPr>
          <w:rFonts w:hint="eastAsia" w:ascii="宋体" w:hAnsi="宋体" w:cs="宋体"/>
          <w:szCs w:val="24"/>
        </w:rPr>
      </w:pPr>
    </w:p>
    <w:p w14:paraId="300BFD2C">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代理人（被授权人）：_______________________</w:t>
      </w:r>
    </w:p>
    <w:p w14:paraId="694C598D">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w:t>
      </w:r>
    </w:p>
    <w:p w14:paraId="41ADE202">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单位名称：_____________________________________</w:t>
      </w:r>
    </w:p>
    <w:p w14:paraId="0A08F550">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w:t>
      </w:r>
    </w:p>
    <w:p w14:paraId="4EF09B2D">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授权单位盖章：_________________________________</w:t>
      </w:r>
    </w:p>
    <w:p w14:paraId="67A6C10C">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w:t>
      </w:r>
    </w:p>
    <w:p w14:paraId="172C9E46">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单位名称：_____________________________________</w:t>
      </w:r>
    </w:p>
    <w:p w14:paraId="3E0817D3">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w:t>
      </w:r>
    </w:p>
    <w:p w14:paraId="2D9716B5">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地址：_____________________________________</w:t>
      </w:r>
    </w:p>
    <w:p w14:paraId="7C45D130">
      <w:pPr>
        <w:pStyle w:val="61"/>
        <w:widowControl/>
        <w:tabs>
          <w:tab w:val="left" w:pos="360"/>
        </w:tabs>
        <w:spacing w:line="360" w:lineRule="auto"/>
        <w:rPr>
          <w:rFonts w:hint="eastAsia" w:ascii="宋体" w:hAnsi="宋体" w:cs="宋体"/>
          <w:szCs w:val="24"/>
        </w:rPr>
      </w:pPr>
      <w:r>
        <w:rPr>
          <w:rFonts w:hint="eastAsia" w:ascii="宋体" w:hAnsi="宋体" w:cs="宋体"/>
          <w:szCs w:val="24"/>
        </w:rPr>
        <w:t xml:space="preserve">                                         </w:t>
      </w:r>
    </w:p>
    <w:p w14:paraId="2D726DAD">
      <w:pPr>
        <w:pStyle w:val="61"/>
        <w:widowControl/>
        <w:tabs>
          <w:tab w:val="left" w:pos="360"/>
        </w:tabs>
        <w:spacing w:line="360" w:lineRule="auto"/>
        <w:ind w:firstLine="480"/>
        <w:rPr>
          <w:rFonts w:hint="eastAsia" w:ascii="宋体" w:hAnsi="宋体" w:cs="宋体"/>
          <w:szCs w:val="24"/>
        </w:rPr>
      </w:pPr>
      <w:r>
        <w:rPr>
          <w:rFonts w:hint="eastAsia" w:ascii="宋体" w:hAnsi="宋体" w:cs="宋体"/>
          <w:szCs w:val="24"/>
        </w:rPr>
        <w:t xml:space="preserve">          日期：                    </w:t>
      </w:r>
    </w:p>
    <w:p w14:paraId="2F8DEAC6">
      <w:pPr>
        <w:pStyle w:val="5"/>
        <w:spacing w:line="360" w:lineRule="auto"/>
        <w:rPr>
          <w:rFonts w:hint="eastAsia" w:ascii="宋体" w:hAnsi="宋体"/>
          <w:b/>
        </w:rPr>
      </w:pPr>
    </w:p>
    <w:p w14:paraId="1C0DE26D">
      <w:pPr>
        <w:pStyle w:val="63"/>
        <w:spacing w:line="560" w:lineRule="atLeast"/>
        <w:jc w:val="center"/>
        <w:rPr>
          <w:rFonts w:hint="eastAsia" w:ascii="宋体" w:hAnsi="宋体"/>
        </w:rPr>
      </w:pPr>
      <w:r>
        <w:rPr>
          <w:rFonts w:hint="eastAsia" w:ascii="宋体" w:hAnsi="宋体"/>
        </w:rPr>
        <w:br w:type="page"/>
      </w:r>
    </w:p>
    <w:p w14:paraId="29FC55B1">
      <w:pPr>
        <w:pStyle w:val="63"/>
        <w:spacing w:line="560" w:lineRule="atLeast"/>
        <w:jc w:val="center"/>
        <w:rPr>
          <w:rFonts w:hint="eastAsia" w:ascii="宋体" w:hAnsi="宋体" w:cs="宋体"/>
          <w:b/>
          <w:bCs/>
          <w:sz w:val="36"/>
          <w:szCs w:val="36"/>
        </w:rPr>
      </w:pPr>
      <w:r>
        <w:rPr>
          <w:rFonts w:hint="eastAsia" w:ascii="宋体" w:hAnsi="宋体" w:cs="宋体"/>
          <w:b/>
          <w:bCs/>
          <w:sz w:val="36"/>
          <w:szCs w:val="36"/>
        </w:rPr>
        <w:t>履行合同所必需的设备和专业技术能力承诺函</w:t>
      </w:r>
    </w:p>
    <w:p w14:paraId="2370E79C">
      <w:pPr>
        <w:jc w:val="center"/>
        <w:rPr>
          <w:rFonts w:hint="eastAsia" w:ascii="宋体" w:hAnsi="宋体" w:cs="宋体"/>
          <w:b/>
          <w:bCs/>
          <w:sz w:val="36"/>
          <w:szCs w:val="36"/>
        </w:rPr>
      </w:pPr>
    </w:p>
    <w:p w14:paraId="5282F43E">
      <w:pPr>
        <w:spacing w:line="480" w:lineRule="auto"/>
        <w:jc w:val="left"/>
        <w:rPr>
          <w:rFonts w:hint="eastAsia" w:ascii="宋体" w:hAnsi="宋体" w:cs="宋体"/>
          <w:sz w:val="28"/>
          <w:szCs w:val="28"/>
        </w:rPr>
      </w:pPr>
      <w:r>
        <w:rPr>
          <w:rFonts w:hint="eastAsia" w:ascii="宋体" w:hAnsi="宋体" w:cs="宋体"/>
          <w:sz w:val="28"/>
          <w:szCs w:val="28"/>
        </w:rPr>
        <w:t>南通市海门区人民代表大会常务委员会办公室：</w:t>
      </w:r>
    </w:p>
    <w:p w14:paraId="255F1E69">
      <w:pPr>
        <w:spacing w:line="480" w:lineRule="auto"/>
        <w:ind w:firstLine="560"/>
        <w:jc w:val="left"/>
        <w:rPr>
          <w:rFonts w:hint="eastAsia" w:ascii="宋体" w:hAnsi="宋体" w:cs="宋体"/>
          <w:sz w:val="28"/>
          <w:szCs w:val="28"/>
        </w:rPr>
      </w:pPr>
      <w:r>
        <w:rPr>
          <w:rFonts w:hint="eastAsia" w:ascii="宋体" w:hAnsi="宋体" w:cs="宋体"/>
          <w:sz w:val="28"/>
          <w:szCs w:val="28"/>
        </w:rPr>
        <w:t>我单位</w:t>
      </w:r>
      <w:r>
        <w:rPr>
          <w:rFonts w:hint="eastAsia" w:ascii="宋体" w:hAnsi="宋体" w:cs="宋体"/>
          <w:sz w:val="28"/>
          <w:szCs w:val="28"/>
          <w:u w:val="single"/>
        </w:rPr>
        <w:t xml:space="preserve">                            </w:t>
      </w:r>
      <w:r>
        <w:rPr>
          <w:rFonts w:hint="eastAsia" w:ascii="宋体" w:hAnsi="宋体" w:cs="宋体"/>
          <w:sz w:val="28"/>
          <w:szCs w:val="28"/>
        </w:rPr>
        <w:t>（供应商名称）郑重承诺：</w:t>
      </w:r>
    </w:p>
    <w:p w14:paraId="1F1AE4ED">
      <w:pPr>
        <w:spacing w:line="480" w:lineRule="auto"/>
        <w:ind w:firstLine="560"/>
        <w:jc w:val="left"/>
        <w:rPr>
          <w:rFonts w:hint="eastAsia" w:ascii="宋体" w:hAnsi="宋体" w:cs="宋体"/>
          <w:sz w:val="28"/>
          <w:szCs w:val="28"/>
        </w:rPr>
      </w:pPr>
      <w:r>
        <w:rPr>
          <w:rFonts w:hint="eastAsia" w:ascii="宋体" w:hAnsi="宋体" w:cs="宋体"/>
          <w:sz w:val="28"/>
          <w:szCs w:val="28"/>
        </w:rPr>
        <w:t>贵方组织的</w:t>
      </w:r>
      <w:r>
        <w:rPr>
          <w:rFonts w:hint="eastAsia" w:ascii="宋体" w:hAnsi="宋体" w:cs="宋体"/>
          <w:sz w:val="28"/>
          <w:szCs w:val="28"/>
          <w:u w:val="single"/>
        </w:rPr>
        <w:t xml:space="preserve">                        </w:t>
      </w:r>
      <w:r>
        <w:rPr>
          <w:rFonts w:hint="eastAsia" w:ascii="宋体" w:hAnsi="宋体" w:cs="宋体"/>
          <w:sz w:val="28"/>
          <w:szCs w:val="28"/>
        </w:rPr>
        <w:t>(项目名称），我单位</w:t>
      </w:r>
      <w:r>
        <w:rPr>
          <w:rFonts w:hint="eastAsia" w:ascii="宋体" w:hAnsi="宋体" w:cs="宋体"/>
          <w:sz w:val="28"/>
          <w:szCs w:val="28"/>
          <w:u w:val="single"/>
        </w:rPr>
        <w:t xml:space="preserve">       </w:t>
      </w:r>
      <w:r>
        <w:rPr>
          <w:rFonts w:hint="eastAsia" w:ascii="宋体" w:hAnsi="宋体" w:cs="宋体"/>
          <w:sz w:val="28"/>
          <w:szCs w:val="28"/>
        </w:rPr>
        <w:t>(在下划线上如实填写：有或没有）履行合同所必需的设备和专业技术能力。</w:t>
      </w:r>
    </w:p>
    <w:p w14:paraId="0F113665">
      <w:pPr>
        <w:spacing w:line="480" w:lineRule="auto"/>
        <w:ind w:firstLine="560"/>
        <w:jc w:val="left"/>
        <w:rPr>
          <w:rFonts w:hint="eastAsia" w:ascii="宋体" w:hAnsi="宋体" w:cs="宋体"/>
          <w:sz w:val="24"/>
        </w:rPr>
      </w:pPr>
    </w:p>
    <w:p w14:paraId="61ACA6A9">
      <w:pPr>
        <w:spacing w:line="480" w:lineRule="auto"/>
        <w:ind w:firstLine="560"/>
        <w:jc w:val="left"/>
        <w:rPr>
          <w:rFonts w:hint="eastAsia" w:ascii="宋体" w:hAnsi="宋体" w:cs="宋体"/>
          <w:sz w:val="28"/>
          <w:szCs w:val="28"/>
        </w:rPr>
      </w:pPr>
    </w:p>
    <w:p w14:paraId="679E386E">
      <w:pPr>
        <w:spacing w:line="480" w:lineRule="auto"/>
        <w:ind w:firstLine="560"/>
        <w:jc w:val="left"/>
        <w:rPr>
          <w:rFonts w:hint="eastAsia" w:ascii="宋体" w:hAnsi="宋体" w:cs="宋体"/>
          <w:sz w:val="28"/>
          <w:szCs w:val="28"/>
        </w:rPr>
      </w:pPr>
    </w:p>
    <w:p w14:paraId="71328529">
      <w:pPr>
        <w:spacing w:line="480" w:lineRule="auto"/>
        <w:ind w:firstLine="560"/>
        <w:jc w:val="left"/>
        <w:rPr>
          <w:rFonts w:hint="eastAsia" w:ascii="宋体" w:hAnsi="宋体" w:cs="宋体"/>
          <w:sz w:val="28"/>
          <w:szCs w:val="28"/>
        </w:rPr>
      </w:pPr>
      <w:r>
        <w:rPr>
          <w:rFonts w:hint="eastAsia" w:ascii="宋体" w:hAnsi="宋体" w:cs="宋体"/>
          <w:sz w:val="28"/>
          <w:szCs w:val="28"/>
        </w:rPr>
        <w:t xml:space="preserve">            承诺人：（公章）</w:t>
      </w:r>
    </w:p>
    <w:p w14:paraId="4CAA3814">
      <w:pPr>
        <w:spacing w:line="480" w:lineRule="auto"/>
        <w:ind w:firstLine="560"/>
        <w:jc w:val="left"/>
        <w:rPr>
          <w:rFonts w:hint="eastAsia" w:ascii="宋体" w:hAnsi="宋体" w:cs="宋体"/>
          <w:sz w:val="28"/>
          <w:szCs w:val="28"/>
        </w:rPr>
      </w:pPr>
      <w:r>
        <w:rPr>
          <w:rFonts w:hint="eastAsia" w:ascii="宋体" w:hAnsi="宋体" w:cs="宋体"/>
          <w:sz w:val="28"/>
          <w:szCs w:val="28"/>
        </w:rPr>
        <w:t xml:space="preserve">                           年    月   日</w:t>
      </w:r>
    </w:p>
    <w:p w14:paraId="00ACBCC9">
      <w:pPr>
        <w:spacing w:line="360" w:lineRule="auto"/>
        <w:jc w:val="center"/>
        <w:rPr>
          <w:rFonts w:hint="eastAsia" w:ascii="宋体" w:hAnsi="宋体" w:cs="宋体"/>
          <w:b/>
          <w:bCs/>
          <w:sz w:val="36"/>
          <w:szCs w:val="36"/>
        </w:rPr>
      </w:pPr>
    </w:p>
    <w:p w14:paraId="0EF9FFEB">
      <w:pPr>
        <w:spacing w:line="360" w:lineRule="auto"/>
        <w:jc w:val="center"/>
        <w:rPr>
          <w:rFonts w:hint="eastAsia" w:ascii="宋体" w:hAnsi="宋体" w:cs="宋体"/>
          <w:b/>
          <w:sz w:val="32"/>
          <w:szCs w:val="32"/>
          <w:u w:val="single"/>
        </w:rPr>
      </w:pPr>
    </w:p>
    <w:p w14:paraId="3A154F25">
      <w:pPr>
        <w:spacing w:line="360" w:lineRule="auto"/>
        <w:jc w:val="center"/>
        <w:rPr>
          <w:rFonts w:hint="eastAsia" w:ascii="宋体" w:hAnsi="宋体" w:cs="宋体"/>
          <w:b/>
          <w:sz w:val="32"/>
          <w:szCs w:val="32"/>
          <w:u w:val="single"/>
        </w:rPr>
      </w:pPr>
    </w:p>
    <w:p w14:paraId="12912416">
      <w:pPr>
        <w:spacing w:line="360" w:lineRule="auto"/>
        <w:jc w:val="center"/>
        <w:rPr>
          <w:rFonts w:hint="eastAsia" w:ascii="宋体" w:hAnsi="宋体" w:cs="宋体"/>
          <w:b/>
          <w:sz w:val="32"/>
          <w:szCs w:val="32"/>
          <w:u w:val="single"/>
        </w:rPr>
      </w:pPr>
    </w:p>
    <w:p w14:paraId="5F720589">
      <w:pPr>
        <w:spacing w:line="360" w:lineRule="auto"/>
        <w:jc w:val="center"/>
        <w:rPr>
          <w:rFonts w:hint="eastAsia" w:ascii="宋体" w:hAnsi="宋体" w:cs="宋体"/>
          <w:b/>
          <w:sz w:val="32"/>
          <w:szCs w:val="32"/>
          <w:u w:val="single"/>
        </w:rPr>
      </w:pPr>
    </w:p>
    <w:p w14:paraId="255F662C">
      <w:pPr>
        <w:spacing w:line="360" w:lineRule="auto"/>
        <w:jc w:val="center"/>
        <w:rPr>
          <w:rFonts w:hint="eastAsia" w:ascii="宋体" w:hAnsi="宋体" w:cs="宋体"/>
          <w:b/>
          <w:sz w:val="32"/>
          <w:szCs w:val="32"/>
          <w:u w:val="single"/>
        </w:rPr>
      </w:pPr>
    </w:p>
    <w:p w14:paraId="28132B3B">
      <w:pPr>
        <w:spacing w:line="360" w:lineRule="auto"/>
        <w:jc w:val="center"/>
        <w:rPr>
          <w:rFonts w:hint="eastAsia" w:ascii="宋体" w:hAnsi="宋体" w:cs="宋体"/>
          <w:b/>
          <w:sz w:val="32"/>
          <w:szCs w:val="32"/>
          <w:u w:val="single"/>
        </w:rPr>
      </w:pPr>
    </w:p>
    <w:p w14:paraId="2CF20A78">
      <w:pPr>
        <w:spacing w:line="360" w:lineRule="auto"/>
        <w:jc w:val="center"/>
        <w:rPr>
          <w:rFonts w:hint="eastAsia" w:ascii="宋体" w:hAnsi="宋体" w:cs="宋体"/>
          <w:b/>
          <w:sz w:val="32"/>
          <w:szCs w:val="32"/>
          <w:u w:val="single"/>
        </w:rPr>
      </w:pPr>
    </w:p>
    <w:p w14:paraId="50D05982">
      <w:pPr>
        <w:pStyle w:val="16"/>
        <w:widowControl w:val="0"/>
        <w:spacing w:before="0" w:beforeAutospacing="0" w:after="0" w:afterAutospacing="0"/>
        <w:jc w:val="center"/>
        <w:rPr>
          <w:rFonts w:hint="eastAsia"/>
          <w:b/>
          <w:color w:val="000000"/>
        </w:rPr>
      </w:pPr>
      <w:r>
        <w:rPr>
          <w:rFonts w:hint="eastAsia"/>
          <w:b/>
          <w:color w:val="000000"/>
          <w:kern w:val="2"/>
          <w:sz w:val="30"/>
          <w:szCs w:val="30"/>
          <w:lang w:bidi="ar"/>
        </w:rPr>
        <w:br w:type="page"/>
      </w:r>
      <w:r>
        <w:rPr>
          <w:rFonts w:hint="eastAsia"/>
          <w:b/>
          <w:color w:val="000000"/>
          <w:kern w:val="2"/>
          <w:sz w:val="30"/>
          <w:szCs w:val="30"/>
          <w:lang w:bidi="ar"/>
        </w:rPr>
        <w:t>参加政府采购活动前 3 年内在经营活动中没有重大违法记</w:t>
      </w:r>
      <w:r>
        <w:rPr>
          <w:rFonts w:hint="eastAsia"/>
          <w:b/>
          <w:bCs/>
          <w:color w:val="000000"/>
          <w:kern w:val="2"/>
          <w:sz w:val="30"/>
          <w:szCs w:val="30"/>
          <w:lang w:bidi="ar"/>
        </w:rPr>
        <w:t>录和失信记录的书面声明</w:t>
      </w:r>
    </w:p>
    <w:p w14:paraId="20B0D688">
      <w:pPr>
        <w:spacing w:line="460" w:lineRule="exact"/>
        <w:rPr>
          <w:rFonts w:hint="eastAsia" w:ascii="宋体" w:hAnsi="宋体" w:cs="宋体"/>
          <w:b/>
          <w:color w:val="000000"/>
          <w:sz w:val="44"/>
          <w:szCs w:val="44"/>
        </w:rPr>
      </w:pPr>
      <w:r>
        <w:rPr>
          <w:rFonts w:hint="eastAsia" w:ascii="宋体" w:hAnsi="宋体" w:cs="宋体"/>
          <w:b/>
          <w:color w:val="000000"/>
          <w:sz w:val="24"/>
          <w:szCs w:val="21"/>
          <w:lang w:bidi="ar"/>
        </w:rPr>
        <w:t xml:space="preserve">                       </w:t>
      </w:r>
      <w:r>
        <w:rPr>
          <w:rFonts w:hint="eastAsia" w:ascii="宋体" w:hAnsi="宋体" w:cs="宋体"/>
          <w:b/>
          <w:color w:val="000000"/>
          <w:sz w:val="44"/>
          <w:szCs w:val="44"/>
          <w:lang w:bidi="ar"/>
        </w:rPr>
        <w:t xml:space="preserve">   </w:t>
      </w:r>
    </w:p>
    <w:p w14:paraId="44F870D8">
      <w:pPr>
        <w:spacing w:line="460" w:lineRule="exact"/>
        <w:jc w:val="center"/>
        <w:rPr>
          <w:rFonts w:hint="eastAsia" w:ascii="宋体" w:hAnsi="宋体" w:cs="宋体"/>
          <w:b/>
          <w:color w:val="000000"/>
          <w:sz w:val="44"/>
          <w:szCs w:val="44"/>
        </w:rPr>
      </w:pPr>
      <w:r>
        <w:rPr>
          <w:rFonts w:hint="eastAsia" w:ascii="宋体" w:hAnsi="宋体" w:cs="宋体"/>
          <w:b/>
          <w:color w:val="000000"/>
          <w:sz w:val="44"/>
          <w:szCs w:val="44"/>
          <w:lang w:bidi="ar"/>
        </w:rPr>
        <w:t>声  明</w:t>
      </w:r>
    </w:p>
    <w:p w14:paraId="56C81401">
      <w:pPr>
        <w:spacing w:line="460" w:lineRule="exact"/>
        <w:ind w:firstLine="881"/>
        <w:jc w:val="center"/>
        <w:rPr>
          <w:rFonts w:hint="eastAsia" w:ascii="宋体" w:hAnsi="宋体" w:cs="宋体"/>
          <w:b/>
          <w:color w:val="000000"/>
          <w:sz w:val="44"/>
          <w:szCs w:val="44"/>
        </w:rPr>
      </w:pPr>
    </w:p>
    <w:p w14:paraId="697C6F67">
      <w:p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我公司郑重声明：参加本次政府采购活动前 3 年内，我公司在经营活动中没有因违法经营受到刑事处罚或者责令停产停业、吊销许可证或者执照、较大数额罚款等行政处罚。</w:t>
      </w:r>
    </w:p>
    <w:p w14:paraId="19D35A09">
      <w:pPr>
        <w:spacing w:line="480" w:lineRule="auto"/>
        <w:ind w:firstLine="560" w:firstLineChars="200"/>
        <w:jc w:val="left"/>
        <w:rPr>
          <w:rFonts w:hint="eastAsia" w:ascii="宋体" w:hAnsi="宋体" w:cs="宋体"/>
          <w:sz w:val="28"/>
          <w:szCs w:val="28"/>
        </w:rPr>
      </w:pPr>
      <w:r>
        <w:rPr>
          <w:rFonts w:hint="eastAsia" w:ascii="宋体" w:hAnsi="宋体" w:cs="宋体"/>
          <w:sz w:val="28"/>
          <w:szCs w:val="28"/>
        </w:rPr>
        <w:t>在投标截止时间节点，没有被“信用中国”网站（www.creditchina.gov.cn）列入失信被执行人、重大税收违法案件当事人名单、政府采购严重失信行为记录名单。</w:t>
      </w:r>
    </w:p>
    <w:p w14:paraId="1BE3722D">
      <w:pPr>
        <w:spacing w:line="480" w:lineRule="auto"/>
        <w:ind w:firstLine="560" w:firstLineChars="200"/>
        <w:jc w:val="left"/>
        <w:rPr>
          <w:rFonts w:hint="eastAsia" w:ascii="宋体" w:hAnsi="宋体" w:cs="宋体"/>
          <w:sz w:val="28"/>
          <w:szCs w:val="28"/>
        </w:rPr>
      </w:pPr>
    </w:p>
    <w:p w14:paraId="3E9370D9">
      <w:pPr>
        <w:spacing w:line="480" w:lineRule="auto"/>
        <w:jc w:val="left"/>
        <w:rPr>
          <w:rFonts w:hint="eastAsia" w:ascii="宋体" w:hAnsi="宋体" w:cs="宋体"/>
          <w:sz w:val="28"/>
          <w:szCs w:val="28"/>
        </w:rPr>
      </w:pPr>
      <w:r>
        <w:rPr>
          <w:rFonts w:hint="eastAsia" w:ascii="宋体" w:hAnsi="宋体" w:cs="宋体"/>
          <w:sz w:val="28"/>
          <w:szCs w:val="28"/>
        </w:rPr>
        <w:t xml:space="preserve">                                 供应商名称（公章）：</w:t>
      </w:r>
    </w:p>
    <w:p w14:paraId="323E8AA0">
      <w:pPr>
        <w:spacing w:line="480" w:lineRule="auto"/>
        <w:jc w:val="left"/>
        <w:rPr>
          <w:rFonts w:hint="eastAsia" w:ascii="宋体" w:hAnsi="宋体" w:cs="宋体"/>
          <w:sz w:val="28"/>
          <w:szCs w:val="28"/>
        </w:rPr>
      </w:pPr>
      <w:r>
        <w:rPr>
          <w:rFonts w:hint="eastAsia" w:ascii="宋体" w:hAnsi="宋体" w:cs="宋体"/>
          <w:sz w:val="28"/>
          <w:szCs w:val="28"/>
        </w:rPr>
        <w:t xml:space="preserve">                               </w:t>
      </w:r>
    </w:p>
    <w:p w14:paraId="20A87B14">
      <w:pPr>
        <w:spacing w:line="480" w:lineRule="auto"/>
        <w:jc w:val="left"/>
        <w:rPr>
          <w:rFonts w:hint="eastAsia" w:ascii="宋体" w:hAnsi="宋体" w:cs="宋体"/>
          <w:sz w:val="28"/>
          <w:szCs w:val="28"/>
        </w:rPr>
      </w:pPr>
      <w:r>
        <w:rPr>
          <w:rFonts w:hint="eastAsia" w:ascii="宋体" w:hAnsi="宋体" w:cs="宋体"/>
          <w:sz w:val="28"/>
          <w:szCs w:val="28"/>
        </w:rPr>
        <w:t xml:space="preserve">                                 日期：______年    月    日</w:t>
      </w:r>
    </w:p>
    <w:p w14:paraId="4D71BF52">
      <w:pPr>
        <w:spacing w:line="480" w:lineRule="auto"/>
        <w:jc w:val="left"/>
        <w:rPr>
          <w:rFonts w:hint="eastAsia" w:ascii="宋体" w:hAnsi="宋体" w:cs="宋体"/>
          <w:sz w:val="28"/>
          <w:szCs w:val="28"/>
        </w:rPr>
      </w:pPr>
    </w:p>
    <w:p w14:paraId="162FBEF0">
      <w:pPr>
        <w:ind w:firstLine="560"/>
        <w:jc w:val="left"/>
        <w:rPr>
          <w:rFonts w:hint="eastAsia" w:ascii="宋体" w:hAnsi="宋体" w:cs="宋体"/>
          <w:sz w:val="28"/>
          <w:szCs w:val="28"/>
        </w:rPr>
      </w:pPr>
    </w:p>
    <w:p w14:paraId="7991E69C">
      <w:pPr>
        <w:ind w:firstLine="641"/>
        <w:jc w:val="center"/>
        <w:rPr>
          <w:rFonts w:hint="eastAsia" w:ascii="宋体" w:hAnsi="宋体" w:cs="宋体"/>
          <w:b/>
          <w:color w:val="000000"/>
          <w:sz w:val="32"/>
          <w:szCs w:val="32"/>
        </w:rPr>
      </w:pPr>
      <w:r>
        <w:rPr>
          <w:rFonts w:hint="eastAsia"/>
        </w:rPr>
        <w:br w:type="page"/>
      </w:r>
      <w:r>
        <w:rPr>
          <w:rFonts w:hint="eastAsia" w:ascii="宋体" w:hAnsi="宋体" w:cs="宋体"/>
          <w:b/>
          <w:color w:val="000000"/>
          <w:sz w:val="32"/>
          <w:szCs w:val="32"/>
          <w:lang w:bidi="ar"/>
        </w:rPr>
        <w:t>技术部分正负偏离表</w:t>
      </w:r>
    </w:p>
    <w:p w14:paraId="7AE8E535">
      <w:pPr>
        <w:ind w:firstLine="641"/>
        <w:jc w:val="center"/>
        <w:rPr>
          <w:rFonts w:hint="eastAsia" w:ascii="宋体" w:hAnsi="宋体" w:cs="宋体"/>
          <w:b/>
          <w:color w:val="000000"/>
          <w:sz w:val="32"/>
          <w:szCs w:val="32"/>
        </w:rPr>
      </w:pPr>
    </w:p>
    <w:p w14:paraId="1FFA122A">
      <w:pPr>
        <w:rPr>
          <w:rFonts w:hint="eastAsia" w:ascii="宋体" w:hAnsi="宋体" w:cs="宋体"/>
          <w:color w:val="000000"/>
          <w:sz w:val="24"/>
        </w:rPr>
      </w:pPr>
      <w:r>
        <w:rPr>
          <w:rFonts w:hint="eastAsia" w:ascii="宋体" w:hAnsi="宋体" w:cs="宋体"/>
          <w:color w:val="000000"/>
          <w:sz w:val="24"/>
          <w:lang w:bidi="ar"/>
        </w:rPr>
        <w:t xml:space="preserve">投标人全称（加盖公章）：       </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8"/>
        <w:gridCol w:w="3098"/>
        <w:gridCol w:w="3098"/>
        <w:gridCol w:w="1419"/>
        <w:gridCol w:w="1276"/>
      </w:tblGrid>
      <w:tr w14:paraId="2852C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36" w:type="pct"/>
            <w:tcBorders>
              <w:top w:val="single" w:color="auto" w:sz="4" w:space="0"/>
              <w:left w:val="single" w:color="auto" w:sz="4" w:space="0"/>
              <w:bottom w:val="single" w:color="auto" w:sz="4" w:space="0"/>
              <w:right w:val="single" w:color="auto" w:sz="4" w:space="0"/>
            </w:tcBorders>
            <w:vAlign w:val="center"/>
          </w:tcPr>
          <w:p w14:paraId="3B69DBF9">
            <w:pPr>
              <w:jc w:val="center"/>
              <w:rPr>
                <w:rFonts w:hint="eastAsia" w:ascii="宋体" w:hAnsi="宋体" w:cs="宋体"/>
                <w:color w:val="000000"/>
                <w:sz w:val="24"/>
              </w:rPr>
            </w:pPr>
            <w:r>
              <w:rPr>
                <w:rFonts w:hint="eastAsia" w:ascii="宋体" w:hAnsi="宋体" w:cs="宋体"/>
                <w:color w:val="000000"/>
                <w:sz w:val="24"/>
                <w:lang w:bidi="ar"/>
              </w:rPr>
              <w:t>序号</w:t>
            </w:r>
          </w:p>
        </w:tc>
        <w:tc>
          <w:tcPr>
            <w:tcW w:w="1555" w:type="pct"/>
            <w:tcBorders>
              <w:top w:val="single" w:color="auto" w:sz="4" w:space="0"/>
              <w:left w:val="single" w:color="auto" w:sz="4" w:space="0"/>
              <w:bottom w:val="single" w:color="auto" w:sz="4" w:space="0"/>
              <w:right w:val="single" w:color="auto" w:sz="4" w:space="0"/>
            </w:tcBorders>
            <w:vAlign w:val="center"/>
          </w:tcPr>
          <w:p w14:paraId="4223A006">
            <w:pPr>
              <w:rPr>
                <w:rFonts w:hint="eastAsia" w:ascii="宋体" w:hAnsi="宋体" w:cs="宋体"/>
                <w:color w:val="000000"/>
                <w:sz w:val="24"/>
              </w:rPr>
            </w:pPr>
            <w:r>
              <w:rPr>
                <w:rFonts w:hint="eastAsia" w:ascii="宋体" w:hAnsi="宋体" w:cs="宋体"/>
                <w:color w:val="000000"/>
                <w:sz w:val="24"/>
                <w:lang w:bidi="ar"/>
              </w:rPr>
              <w:t>招标要求</w:t>
            </w:r>
          </w:p>
        </w:tc>
        <w:tc>
          <w:tcPr>
            <w:tcW w:w="1555" w:type="pct"/>
            <w:tcBorders>
              <w:top w:val="single" w:color="auto" w:sz="4" w:space="0"/>
              <w:left w:val="single" w:color="auto" w:sz="4" w:space="0"/>
              <w:bottom w:val="single" w:color="auto" w:sz="4" w:space="0"/>
              <w:right w:val="single" w:color="auto" w:sz="4" w:space="0"/>
            </w:tcBorders>
            <w:vAlign w:val="center"/>
          </w:tcPr>
          <w:p w14:paraId="004D86AE">
            <w:pPr>
              <w:rPr>
                <w:rFonts w:hint="eastAsia" w:ascii="宋体" w:hAnsi="宋体" w:cs="宋体"/>
                <w:color w:val="000000"/>
                <w:sz w:val="24"/>
              </w:rPr>
            </w:pPr>
            <w:r>
              <w:rPr>
                <w:rFonts w:hint="eastAsia" w:ascii="宋体" w:hAnsi="宋体" w:cs="宋体"/>
                <w:color w:val="000000"/>
                <w:sz w:val="24"/>
                <w:lang w:bidi="ar"/>
              </w:rPr>
              <w:t>投标响应</w:t>
            </w:r>
          </w:p>
        </w:tc>
        <w:tc>
          <w:tcPr>
            <w:tcW w:w="712" w:type="pct"/>
            <w:tcBorders>
              <w:top w:val="single" w:color="auto" w:sz="4" w:space="0"/>
              <w:left w:val="single" w:color="auto" w:sz="4" w:space="0"/>
              <w:bottom w:val="single" w:color="auto" w:sz="4" w:space="0"/>
              <w:right w:val="single" w:color="auto" w:sz="4" w:space="0"/>
            </w:tcBorders>
            <w:vAlign w:val="center"/>
          </w:tcPr>
          <w:p w14:paraId="1E5CBF97">
            <w:pPr>
              <w:rPr>
                <w:rFonts w:hint="eastAsia" w:ascii="宋体" w:hAnsi="宋体" w:cs="宋体"/>
                <w:color w:val="000000"/>
                <w:sz w:val="24"/>
              </w:rPr>
            </w:pPr>
            <w:r>
              <w:rPr>
                <w:rFonts w:hint="eastAsia" w:ascii="宋体" w:hAnsi="宋体" w:cs="宋体"/>
                <w:color w:val="000000"/>
                <w:sz w:val="24"/>
                <w:lang w:bidi="ar"/>
              </w:rPr>
              <w:t>超出、符合或偏离</w:t>
            </w:r>
          </w:p>
        </w:tc>
        <w:tc>
          <w:tcPr>
            <w:tcW w:w="640" w:type="pct"/>
            <w:tcBorders>
              <w:top w:val="single" w:color="auto" w:sz="4" w:space="0"/>
              <w:left w:val="single" w:color="auto" w:sz="4" w:space="0"/>
              <w:bottom w:val="single" w:color="auto" w:sz="4" w:space="0"/>
              <w:right w:val="single" w:color="auto" w:sz="4" w:space="0"/>
            </w:tcBorders>
            <w:vAlign w:val="center"/>
          </w:tcPr>
          <w:p w14:paraId="6877003E">
            <w:pPr>
              <w:jc w:val="center"/>
              <w:rPr>
                <w:rFonts w:hint="eastAsia" w:ascii="宋体" w:hAnsi="宋体" w:cs="宋体"/>
                <w:color w:val="000000"/>
                <w:sz w:val="24"/>
              </w:rPr>
            </w:pPr>
            <w:r>
              <w:rPr>
                <w:rFonts w:hint="eastAsia" w:ascii="宋体" w:hAnsi="宋体" w:cs="宋体"/>
                <w:color w:val="000000"/>
                <w:sz w:val="24"/>
                <w:lang w:bidi="ar"/>
              </w:rPr>
              <w:t>原因</w:t>
            </w:r>
          </w:p>
        </w:tc>
      </w:tr>
      <w:tr w14:paraId="5060D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6B9F7ACF">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3213349D">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140D7967">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3DBD0494">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2FA14505">
            <w:pPr>
              <w:jc w:val="center"/>
              <w:rPr>
                <w:rFonts w:hint="eastAsia" w:ascii="宋体" w:hAnsi="宋体" w:cs="宋体"/>
                <w:color w:val="000000"/>
                <w:sz w:val="24"/>
              </w:rPr>
            </w:pPr>
          </w:p>
        </w:tc>
      </w:tr>
      <w:tr w14:paraId="736C3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6CBE3E09">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43698D34">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0CEEA966">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27CD4D77">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09DDEBEB">
            <w:pPr>
              <w:jc w:val="center"/>
              <w:rPr>
                <w:rFonts w:hint="eastAsia" w:ascii="宋体" w:hAnsi="宋体" w:cs="宋体"/>
                <w:color w:val="000000"/>
                <w:sz w:val="24"/>
              </w:rPr>
            </w:pPr>
          </w:p>
        </w:tc>
      </w:tr>
      <w:tr w14:paraId="3BF04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6450D29F">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7ED32DDC">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1819307A">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3CE97F28">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78692CEF">
            <w:pPr>
              <w:jc w:val="center"/>
              <w:rPr>
                <w:rFonts w:hint="eastAsia" w:ascii="宋体" w:hAnsi="宋体" w:cs="宋体"/>
                <w:color w:val="000000"/>
                <w:sz w:val="24"/>
              </w:rPr>
            </w:pPr>
          </w:p>
        </w:tc>
      </w:tr>
      <w:tr w14:paraId="1F93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4F78B5E3">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710ECC84">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56B8CBBC">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524FF9B2">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27BDD703">
            <w:pPr>
              <w:jc w:val="center"/>
              <w:rPr>
                <w:rFonts w:hint="eastAsia" w:ascii="宋体" w:hAnsi="宋体" w:cs="宋体"/>
                <w:color w:val="000000"/>
                <w:sz w:val="24"/>
              </w:rPr>
            </w:pPr>
          </w:p>
        </w:tc>
      </w:tr>
      <w:tr w14:paraId="54B03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2D7F2153">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27AF0DAB">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4980838D">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1F5862B2">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5B84EBA5">
            <w:pPr>
              <w:jc w:val="center"/>
              <w:rPr>
                <w:rFonts w:hint="eastAsia" w:ascii="宋体" w:hAnsi="宋体" w:cs="宋体"/>
                <w:color w:val="000000"/>
                <w:sz w:val="24"/>
              </w:rPr>
            </w:pPr>
          </w:p>
        </w:tc>
      </w:tr>
      <w:tr w14:paraId="0410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2B0168E2">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44BF3C9A">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71D527B2">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3EE38635">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70EA43BA">
            <w:pPr>
              <w:jc w:val="center"/>
              <w:rPr>
                <w:rFonts w:hint="eastAsia" w:ascii="宋体" w:hAnsi="宋体" w:cs="宋体"/>
                <w:color w:val="000000"/>
                <w:sz w:val="24"/>
              </w:rPr>
            </w:pPr>
          </w:p>
        </w:tc>
      </w:tr>
      <w:tr w14:paraId="52278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6E6A8DDA">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05C91BA2">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6B131B79">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553CAD5D">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6B2F73FB">
            <w:pPr>
              <w:jc w:val="center"/>
              <w:rPr>
                <w:rFonts w:hint="eastAsia" w:ascii="宋体" w:hAnsi="宋体" w:cs="宋体"/>
                <w:color w:val="000000"/>
                <w:sz w:val="24"/>
              </w:rPr>
            </w:pPr>
          </w:p>
        </w:tc>
      </w:tr>
      <w:tr w14:paraId="69A61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0" w:hRule="atLeast"/>
          <w:jc w:val="center"/>
        </w:trPr>
        <w:tc>
          <w:tcPr>
            <w:tcW w:w="536" w:type="pct"/>
            <w:tcBorders>
              <w:top w:val="single" w:color="auto" w:sz="4" w:space="0"/>
              <w:left w:val="single" w:color="auto" w:sz="4" w:space="0"/>
              <w:bottom w:val="single" w:color="auto" w:sz="4" w:space="0"/>
              <w:right w:val="single" w:color="auto" w:sz="4" w:space="0"/>
            </w:tcBorders>
          </w:tcPr>
          <w:p w14:paraId="5C46772B">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3F9D5B0E">
            <w:pPr>
              <w:jc w:val="center"/>
              <w:rPr>
                <w:rFonts w:hint="eastAsia" w:ascii="宋体" w:hAnsi="宋体" w:cs="宋体"/>
                <w:color w:val="000000"/>
                <w:sz w:val="24"/>
              </w:rPr>
            </w:pPr>
          </w:p>
        </w:tc>
        <w:tc>
          <w:tcPr>
            <w:tcW w:w="1555" w:type="pct"/>
            <w:tcBorders>
              <w:top w:val="single" w:color="auto" w:sz="4" w:space="0"/>
              <w:left w:val="single" w:color="auto" w:sz="4" w:space="0"/>
              <w:bottom w:val="single" w:color="auto" w:sz="4" w:space="0"/>
              <w:right w:val="single" w:color="auto" w:sz="4" w:space="0"/>
            </w:tcBorders>
          </w:tcPr>
          <w:p w14:paraId="7DFCC748">
            <w:pPr>
              <w:jc w:val="center"/>
              <w:rPr>
                <w:rFonts w:hint="eastAsia" w:ascii="宋体" w:hAnsi="宋体" w:cs="宋体"/>
                <w:color w:val="000000"/>
                <w:sz w:val="24"/>
              </w:rPr>
            </w:pPr>
          </w:p>
        </w:tc>
        <w:tc>
          <w:tcPr>
            <w:tcW w:w="712" w:type="pct"/>
            <w:tcBorders>
              <w:top w:val="single" w:color="auto" w:sz="4" w:space="0"/>
              <w:left w:val="single" w:color="auto" w:sz="4" w:space="0"/>
              <w:bottom w:val="single" w:color="auto" w:sz="4" w:space="0"/>
              <w:right w:val="single" w:color="auto" w:sz="4" w:space="0"/>
            </w:tcBorders>
          </w:tcPr>
          <w:p w14:paraId="5836BFDC">
            <w:pPr>
              <w:jc w:val="center"/>
              <w:rPr>
                <w:rFonts w:hint="eastAsia" w:ascii="宋体" w:hAnsi="宋体" w:cs="宋体"/>
                <w:color w:val="000000"/>
                <w:sz w:val="24"/>
              </w:rPr>
            </w:pPr>
          </w:p>
        </w:tc>
        <w:tc>
          <w:tcPr>
            <w:tcW w:w="640" w:type="pct"/>
            <w:tcBorders>
              <w:top w:val="single" w:color="auto" w:sz="4" w:space="0"/>
              <w:left w:val="single" w:color="auto" w:sz="4" w:space="0"/>
              <w:bottom w:val="single" w:color="auto" w:sz="4" w:space="0"/>
              <w:right w:val="single" w:color="auto" w:sz="4" w:space="0"/>
            </w:tcBorders>
          </w:tcPr>
          <w:p w14:paraId="38F24C50">
            <w:pPr>
              <w:jc w:val="center"/>
              <w:rPr>
                <w:rFonts w:hint="eastAsia" w:ascii="宋体" w:hAnsi="宋体" w:cs="宋体"/>
                <w:color w:val="000000"/>
                <w:sz w:val="24"/>
              </w:rPr>
            </w:pPr>
          </w:p>
        </w:tc>
      </w:tr>
    </w:tbl>
    <w:p w14:paraId="7A610EBB">
      <w:pPr>
        <w:rPr>
          <w:rFonts w:hint="eastAsia" w:ascii="宋体" w:hAnsi="宋体" w:cs="宋体"/>
          <w:color w:val="000000"/>
          <w:sz w:val="24"/>
        </w:rPr>
      </w:pPr>
      <w:r>
        <w:rPr>
          <w:rFonts w:hint="eastAsia" w:ascii="宋体" w:hAnsi="宋体" w:cs="宋体"/>
          <w:color w:val="000000"/>
          <w:sz w:val="24"/>
          <w:lang w:bidi="ar"/>
        </w:rPr>
        <w:t>法定代表人或授权代表签字：</w:t>
      </w:r>
    </w:p>
    <w:p w14:paraId="0D67DF0F">
      <w:pPr>
        <w:rPr>
          <w:rFonts w:hint="eastAsia" w:ascii="宋体" w:hAnsi="宋体" w:cs="宋体"/>
          <w:color w:val="000000"/>
          <w:sz w:val="24"/>
        </w:rPr>
      </w:pPr>
    </w:p>
    <w:p w14:paraId="09446B5F">
      <w:pPr>
        <w:rPr>
          <w:rFonts w:hint="eastAsia" w:ascii="宋体" w:hAnsi="宋体" w:cs="宋体"/>
          <w:color w:val="000000"/>
          <w:sz w:val="24"/>
        </w:rPr>
      </w:pPr>
    </w:p>
    <w:p w14:paraId="3E3F8683">
      <w:pPr>
        <w:rPr>
          <w:rFonts w:hint="eastAsia" w:ascii="宋体" w:hAnsi="宋体" w:cs="宋体"/>
          <w:color w:val="000000"/>
          <w:sz w:val="24"/>
        </w:rPr>
      </w:pPr>
      <w:r>
        <w:rPr>
          <w:rFonts w:hint="eastAsia" w:ascii="宋体" w:hAnsi="宋体" w:cs="宋体"/>
          <w:color w:val="000000"/>
          <w:sz w:val="24"/>
          <w:lang w:bidi="ar"/>
        </w:rPr>
        <w:t>注：1、按照基本技术要求详细填列。</w:t>
      </w:r>
    </w:p>
    <w:p w14:paraId="30A12680">
      <w:pPr>
        <w:ind w:firstLine="480" w:firstLineChars="200"/>
        <w:rPr>
          <w:rFonts w:hint="eastAsia" w:ascii="宋体" w:hAnsi="宋体" w:cs="宋体"/>
          <w:color w:val="000000"/>
          <w:sz w:val="24"/>
        </w:rPr>
      </w:pPr>
      <w:r>
        <w:rPr>
          <w:rFonts w:hint="eastAsia" w:ascii="宋体" w:hAnsi="宋体" w:cs="宋体"/>
          <w:color w:val="000000"/>
          <w:sz w:val="24"/>
          <w:lang w:bidi="ar"/>
        </w:rPr>
        <w:t>2、行数不够，可自行添加。</w:t>
      </w:r>
    </w:p>
    <w:p w14:paraId="48AD7F71"/>
    <w:p w14:paraId="7E54B6F6">
      <w:pPr>
        <w:pStyle w:val="63"/>
        <w:spacing w:line="560" w:lineRule="atLeast"/>
      </w:pPr>
    </w:p>
    <w:p w14:paraId="08968301">
      <w:pPr>
        <w:pStyle w:val="63"/>
        <w:spacing w:line="560" w:lineRule="atLeast"/>
      </w:pPr>
    </w:p>
    <w:p w14:paraId="5C4B9BF0">
      <w:pPr>
        <w:spacing w:line="360" w:lineRule="auto"/>
        <w:jc w:val="center"/>
        <w:rPr>
          <w:rFonts w:hint="eastAsia" w:ascii="宋体" w:hAnsi="宋体" w:cs="宋体"/>
          <w:b/>
          <w:sz w:val="32"/>
          <w:szCs w:val="32"/>
          <w:u w:val="single"/>
        </w:rPr>
      </w:pPr>
    </w:p>
    <w:p w14:paraId="69404538">
      <w:pPr>
        <w:spacing w:line="360" w:lineRule="auto"/>
        <w:jc w:val="center"/>
        <w:rPr>
          <w:rFonts w:hint="eastAsia" w:ascii="宋体" w:hAnsi="宋体" w:cs="宋体"/>
          <w:b/>
          <w:sz w:val="32"/>
          <w:szCs w:val="32"/>
          <w:u w:val="single"/>
        </w:rPr>
      </w:pPr>
    </w:p>
    <w:p w14:paraId="50242518">
      <w:pPr>
        <w:spacing w:line="360" w:lineRule="auto"/>
        <w:jc w:val="center"/>
        <w:rPr>
          <w:rFonts w:hint="eastAsia" w:ascii="宋体" w:hAnsi="宋体" w:cs="宋体"/>
          <w:b/>
          <w:sz w:val="32"/>
          <w:szCs w:val="32"/>
          <w:u w:val="single"/>
        </w:rPr>
      </w:pPr>
    </w:p>
    <w:p w14:paraId="0027EE5A">
      <w:pPr>
        <w:jc w:val="center"/>
        <w:rPr>
          <w:rFonts w:hint="eastAsia" w:ascii="宋体" w:hAnsi="宋体" w:cs="宋体"/>
          <w:b/>
          <w:sz w:val="32"/>
          <w:szCs w:val="32"/>
        </w:rPr>
      </w:pPr>
      <w:r>
        <w:rPr>
          <w:rFonts w:ascii="微软雅黑" w:hAnsi="微软雅黑" w:eastAsia="微软雅黑" w:cs="微软雅黑"/>
          <w:b/>
          <w:sz w:val="32"/>
          <w:szCs w:val="32"/>
          <w:shd w:val="clear" w:color="auto" w:fill="FFFFFF"/>
        </w:rPr>
        <w:br w:type="page"/>
      </w:r>
      <w:r>
        <w:rPr>
          <w:rFonts w:hint="eastAsia" w:ascii="宋体" w:hAnsi="宋体" w:cs="宋体"/>
          <w:b/>
          <w:sz w:val="32"/>
          <w:szCs w:val="32"/>
          <w:lang w:bidi="ar"/>
        </w:rPr>
        <w:t>商务部分正负偏离表</w:t>
      </w:r>
    </w:p>
    <w:p w14:paraId="0BBC3318">
      <w:pPr>
        <w:jc w:val="center"/>
        <w:rPr>
          <w:rFonts w:hint="eastAsia" w:ascii="宋体" w:hAnsi="宋体" w:cs="宋体"/>
          <w:sz w:val="24"/>
        </w:rPr>
      </w:pPr>
    </w:p>
    <w:p w14:paraId="12D502AA">
      <w:pPr>
        <w:rPr>
          <w:rFonts w:hint="eastAsia" w:ascii="宋体" w:hAnsi="宋体" w:cs="宋体"/>
          <w:sz w:val="24"/>
        </w:rPr>
      </w:pPr>
      <w:r>
        <w:rPr>
          <w:rFonts w:hint="eastAsia" w:ascii="宋体" w:hAnsi="宋体" w:cs="宋体"/>
          <w:sz w:val="24"/>
          <w:lang w:bidi="ar"/>
        </w:rPr>
        <w:t xml:space="preserve">投标人全称（加盖公章）：        </w:t>
      </w:r>
    </w:p>
    <w:tbl>
      <w:tblPr>
        <w:tblStyle w:val="17"/>
        <w:tblW w:w="4998" w:type="pct"/>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108" w:type="dxa"/>
          <w:bottom w:w="0" w:type="dxa"/>
          <w:right w:w="108" w:type="dxa"/>
        </w:tblCellMar>
      </w:tblPr>
      <w:tblGrid>
        <w:gridCol w:w="1807"/>
        <w:gridCol w:w="3154"/>
        <w:gridCol w:w="1471"/>
        <w:gridCol w:w="3527"/>
      </w:tblGrid>
      <w:tr w14:paraId="3ED692F1">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42" w:hRule="atLeast"/>
          <w:jc w:val="center"/>
        </w:trPr>
        <w:tc>
          <w:tcPr>
            <w:tcW w:w="907" w:type="pct"/>
            <w:tcBorders>
              <w:top w:val="single" w:color="auto" w:sz="4" w:space="0"/>
              <w:left w:val="single" w:color="auto" w:sz="4" w:space="0"/>
              <w:bottom w:val="single" w:color="auto" w:sz="4" w:space="0"/>
              <w:right w:val="single" w:color="auto" w:sz="4" w:space="0"/>
            </w:tcBorders>
          </w:tcPr>
          <w:p w14:paraId="5A8155A5">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项目</w:t>
            </w:r>
          </w:p>
        </w:tc>
        <w:tc>
          <w:tcPr>
            <w:tcW w:w="1583" w:type="pct"/>
            <w:tcBorders>
              <w:top w:val="single" w:color="auto" w:sz="4" w:space="0"/>
              <w:left w:val="single" w:color="auto" w:sz="4" w:space="0"/>
              <w:bottom w:val="single" w:color="auto" w:sz="4" w:space="0"/>
              <w:right w:val="single" w:color="auto" w:sz="4" w:space="0"/>
            </w:tcBorders>
          </w:tcPr>
          <w:p w14:paraId="7B17ACB2">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招标文件要求</w:t>
            </w:r>
          </w:p>
        </w:tc>
        <w:tc>
          <w:tcPr>
            <w:tcW w:w="738" w:type="pct"/>
            <w:tcBorders>
              <w:top w:val="single" w:color="auto" w:sz="4" w:space="0"/>
              <w:left w:val="single" w:color="auto" w:sz="4" w:space="0"/>
              <w:bottom w:val="single" w:color="auto" w:sz="4" w:space="0"/>
              <w:right w:val="single" w:color="auto" w:sz="4" w:space="0"/>
            </w:tcBorders>
          </w:tcPr>
          <w:p w14:paraId="4036A241">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是否响应</w:t>
            </w:r>
          </w:p>
        </w:tc>
        <w:tc>
          <w:tcPr>
            <w:tcW w:w="1770" w:type="pct"/>
            <w:tcBorders>
              <w:top w:val="single" w:color="auto" w:sz="4" w:space="0"/>
              <w:left w:val="single" w:color="auto" w:sz="4" w:space="0"/>
              <w:bottom w:val="single" w:color="auto" w:sz="4" w:space="0"/>
              <w:right w:val="single" w:color="auto" w:sz="4" w:space="0"/>
            </w:tcBorders>
          </w:tcPr>
          <w:p w14:paraId="53B2B326">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投标人的承诺或说明</w:t>
            </w:r>
          </w:p>
        </w:tc>
      </w:tr>
      <w:tr w14:paraId="0E9BB57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9" w:hRule="atLeast"/>
          <w:jc w:val="center"/>
        </w:trPr>
        <w:tc>
          <w:tcPr>
            <w:tcW w:w="907" w:type="pct"/>
            <w:tcBorders>
              <w:top w:val="single" w:color="auto" w:sz="4" w:space="0"/>
              <w:left w:val="single" w:color="auto" w:sz="4" w:space="0"/>
              <w:bottom w:val="single" w:color="auto" w:sz="4" w:space="0"/>
              <w:right w:val="single" w:color="auto" w:sz="4" w:space="0"/>
            </w:tcBorders>
          </w:tcPr>
          <w:p w14:paraId="43DBEB3D">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质保期</w:t>
            </w:r>
          </w:p>
        </w:tc>
        <w:tc>
          <w:tcPr>
            <w:tcW w:w="1583" w:type="pct"/>
            <w:tcBorders>
              <w:top w:val="single" w:color="auto" w:sz="4" w:space="0"/>
              <w:left w:val="single" w:color="auto" w:sz="4" w:space="0"/>
              <w:bottom w:val="single" w:color="auto" w:sz="4" w:space="0"/>
              <w:right w:val="single" w:color="auto" w:sz="4" w:space="0"/>
            </w:tcBorders>
          </w:tcPr>
          <w:p w14:paraId="31C8CB1E">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052B532F">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61D50FAA">
            <w:pPr>
              <w:snapToGrid w:val="0"/>
              <w:spacing w:before="120" w:beforeLines="50"/>
              <w:rPr>
                <w:rFonts w:hint="eastAsia" w:ascii="仿宋_GB2312" w:hAnsi="宋体" w:eastAsia="仿宋_GB2312" w:cs="仿宋_GB2312"/>
                <w:sz w:val="24"/>
              </w:rPr>
            </w:pPr>
          </w:p>
        </w:tc>
      </w:tr>
      <w:tr w14:paraId="03BBAD4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19" w:hRule="atLeast"/>
          <w:jc w:val="center"/>
        </w:trPr>
        <w:tc>
          <w:tcPr>
            <w:tcW w:w="907" w:type="pct"/>
            <w:tcBorders>
              <w:top w:val="single" w:color="auto" w:sz="4" w:space="0"/>
              <w:left w:val="single" w:color="auto" w:sz="4" w:space="0"/>
              <w:bottom w:val="single" w:color="auto" w:sz="4" w:space="0"/>
              <w:right w:val="single" w:color="auto" w:sz="4" w:space="0"/>
            </w:tcBorders>
          </w:tcPr>
          <w:p w14:paraId="0BD530AB">
            <w:pPr>
              <w:snapToGrid w:val="0"/>
              <w:spacing w:before="120" w:beforeLines="50"/>
              <w:rPr>
                <w:rFonts w:hint="eastAsia" w:ascii="仿宋_GB2312" w:hAnsi="宋体" w:eastAsia="仿宋_GB2312" w:cs="仿宋_GB2312"/>
                <w:sz w:val="24"/>
              </w:rPr>
            </w:pPr>
            <w:r>
              <w:rPr>
                <w:rFonts w:hint="eastAsia" w:ascii="仿宋_GB2312" w:cs="宋体"/>
                <w:sz w:val="24"/>
                <w:szCs w:val="21"/>
                <w:lang w:bidi="ar"/>
              </w:rPr>
              <w:t>售后技术服务要求</w:t>
            </w:r>
          </w:p>
        </w:tc>
        <w:tc>
          <w:tcPr>
            <w:tcW w:w="1583" w:type="pct"/>
            <w:tcBorders>
              <w:top w:val="single" w:color="auto" w:sz="4" w:space="0"/>
              <w:left w:val="single" w:color="auto" w:sz="4" w:space="0"/>
              <w:bottom w:val="single" w:color="auto" w:sz="4" w:space="0"/>
              <w:right w:val="single" w:color="auto" w:sz="4" w:space="0"/>
            </w:tcBorders>
          </w:tcPr>
          <w:p w14:paraId="416BBAAD">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4848D3BA">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73BC7906">
            <w:pPr>
              <w:snapToGrid w:val="0"/>
              <w:spacing w:before="120" w:beforeLines="50"/>
              <w:rPr>
                <w:rFonts w:hint="eastAsia" w:ascii="仿宋_GB2312" w:hAnsi="宋体" w:eastAsia="仿宋_GB2312" w:cs="仿宋_GB2312"/>
                <w:sz w:val="24"/>
              </w:rPr>
            </w:pPr>
          </w:p>
        </w:tc>
      </w:tr>
      <w:tr w14:paraId="3319E48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540" w:hRule="atLeast"/>
          <w:jc w:val="center"/>
        </w:trPr>
        <w:tc>
          <w:tcPr>
            <w:tcW w:w="907" w:type="pct"/>
            <w:tcBorders>
              <w:top w:val="single" w:color="auto" w:sz="4" w:space="0"/>
              <w:left w:val="single" w:color="auto" w:sz="4" w:space="0"/>
              <w:bottom w:val="single" w:color="auto" w:sz="4" w:space="0"/>
              <w:right w:val="single" w:color="auto" w:sz="4" w:space="0"/>
            </w:tcBorders>
          </w:tcPr>
          <w:p w14:paraId="1056AAD5">
            <w:pPr>
              <w:snapToGrid w:val="0"/>
              <w:spacing w:before="120" w:beforeLines="50"/>
              <w:rPr>
                <w:rFonts w:hint="eastAsia" w:ascii="仿宋_GB2312" w:hAnsi="宋体" w:eastAsia="仿宋_GB2312" w:cs="仿宋_GB2312"/>
                <w:sz w:val="24"/>
              </w:rPr>
            </w:pPr>
            <w:r>
              <w:rPr>
                <w:rFonts w:hint="eastAsia" w:ascii="仿宋_GB2312" w:cs="宋体"/>
                <w:sz w:val="24"/>
                <w:szCs w:val="21"/>
                <w:lang w:bidi="ar"/>
              </w:rPr>
              <w:t>交货时间</w:t>
            </w:r>
          </w:p>
        </w:tc>
        <w:tc>
          <w:tcPr>
            <w:tcW w:w="1583" w:type="pct"/>
            <w:tcBorders>
              <w:top w:val="single" w:color="auto" w:sz="4" w:space="0"/>
              <w:left w:val="single" w:color="auto" w:sz="4" w:space="0"/>
              <w:bottom w:val="single" w:color="auto" w:sz="4" w:space="0"/>
              <w:right w:val="single" w:color="auto" w:sz="4" w:space="0"/>
            </w:tcBorders>
          </w:tcPr>
          <w:p w14:paraId="65BC0E0D">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合同签订后</w:t>
            </w:r>
            <w:r>
              <w:rPr>
                <w:rFonts w:hint="eastAsia" w:ascii="仿宋_GB2312" w:hAnsi="宋体" w:cs="仿宋_GB2312"/>
                <w:sz w:val="24"/>
                <w:szCs w:val="21"/>
                <w:u w:val="single"/>
                <w:lang w:bidi="ar"/>
              </w:rPr>
              <w:t xml:space="preserve">     </w:t>
            </w:r>
            <w:r>
              <w:rPr>
                <w:rFonts w:hint="eastAsia" w:ascii="仿宋_GB2312" w:hAnsi="宋体" w:cs="宋体"/>
                <w:sz w:val="24"/>
                <w:szCs w:val="21"/>
                <w:lang w:bidi="ar"/>
              </w:rPr>
              <w:t>天内</w:t>
            </w:r>
            <w:r>
              <w:rPr>
                <w:rFonts w:hint="eastAsia" w:ascii="仿宋_GB2312" w:hAnsi="宋体" w:cs="仿宋_GB2312"/>
                <w:sz w:val="24"/>
                <w:szCs w:val="21"/>
                <w:u w:val="single"/>
                <w:lang w:bidi="ar"/>
              </w:rPr>
              <w:t xml:space="preserve"> </w:t>
            </w:r>
          </w:p>
        </w:tc>
        <w:tc>
          <w:tcPr>
            <w:tcW w:w="738" w:type="pct"/>
            <w:tcBorders>
              <w:top w:val="single" w:color="auto" w:sz="4" w:space="0"/>
              <w:left w:val="single" w:color="auto" w:sz="4" w:space="0"/>
              <w:bottom w:val="single" w:color="auto" w:sz="4" w:space="0"/>
              <w:right w:val="single" w:color="auto" w:sz="4" w:space="0"/>
            </w:tcBorders>
          </w:tcPr>
          <w:p w14:paraId="6CE75AA1">
            <w:pPr>
              <w:snapToGrid w:val="0"/>
              <w:spacing w:before="120" w:beforeLines="50"/>
              <w:ind w:left="43"/>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39D890F4">
            <w:pPr>
              <w:snapToGrid w:val="0"/>
              <w:spacing w:before="120" w:beforeLines="50"/>
              <w:ind w:left="43"/>
              <w:rPr>
                <w:rFonts w:hint="eastAsia" w:ascii="仿宋_GB2312" w:hAnsi="宋体" w:eastAsia="仿宋_GB2312" w:cs="仿宋_GB2312"/>
                <w:sz w:val="24"/>
              </w:rPr>
            </w:pPr>
          </w:p>
        </w:tc>
      </w:tr>
      <w:tr w14:paraId="617F12FF">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40" w:hRule="atLeast"/>
          <w:jc w:val="center"/>
        </w:trPr>
        <w:tc>
          <w:tcPr>
            <w:tcW w:w="907" w:type="pct"/>
            <w:tcBorders>
              <w:top w:val="single" w:color="auto" w:sz="4" w:space="0"/>
              <w:left w:val="single" w:color="auto" w:sz="4" w:space="0"/>
              <w:bottom w:val="single" w:color="auto" w:sz="4" w:space="0"/>
              <w:right w:val="single" w:color="auto" w:sz="4" w:space="0"/>
            </w:tcBorders>
          </w:tcPr>
          <w:p w14:paraId="384AB191">
            <w:pPr>
              <w:snapToGrid w:val="0"/>
              <w:spacing w:before="120" w:beforeLines="50"/>
              <w:rPr>
                <w:rFonts w:ascii="仿宋_GB2312" w:cs="仿宋_GB2312"/>
                <w:sz w:val="24"/>
                <w:szCs w:val="21"/>
              </w:rPr>
            </w:pPr>
            <w:r>
              <w:rPr>
                <w:rFonts w:hint="eastAsia" w:ascii="仿宋_GB2312" w:cs="宋体"/>
                <w:sz w:val="24"/>
                <w:szCs w:val="21"/>
                <w:lang w:bidi="ar"/>
              </w:rPr>
              <w:t>交货方式</w:t>
            </w:r>
          </w:p>
        </w:tc>
        <w:tc>
          <w:tcPr>
            <w:tcW w:w="1583" w:type="pct"/>
            <w:tcBorders>
              <w:top w:val="single" w:color="auto" w:sz="4" w:space="0"/>
              <w:left w:val="single" w:color="auto" w:sz="4" w:space="0"/>
              <w:bottom w:val="single" w:color="auto" w:sz="4" w:space="0"/>
              <w:right w:val="single" w:color="auto" w:sz="4" w:space="0"/>
            </w:tcBorders>
          </w:tcPr>
          <w:p w14:paraId="0F41F738">
            <w:pPr>
              <w:snapToGrid w:val="0"/>
              <w:spacing w:before="120" w:beforeLines="50"/>
              <w:rPr>
                <w:rFonts w:hint="eastAsia" w:ascii="仿宋_GB2312" w:hAnsi="宋体" w:cs="仿宋_GB2312"/>
                <w:sz w:val="24"/>
                <w:szCs w:val="21"/>
              </w:rPr>
            </w:pPr>
          </w:p>
          <w:p w14:paraId="7B53F66C">
            <w:pPr>
              <w:snapToGrid w:val="0"/>
              <w:spacing w:before="120" w:beforeLines="50"/>
              <w:rPr>
                <w:rFonts w:hint="eastAsia" w:ascii="仿宋_GB2312" w:hAnsi="宋体" w:cs="仿宋_GB2312"/>
                <w:sz w:val="24"/>
                <w:szCs w:val="21"/>
              </w:rPr>
            </w:pPr>
          </w:p>
        </w:tc>
        <w:tc>
          <w:tcPr>
            <w:tcW w:w="738" w:type="pct"/>
            <w:tcBorders>
              <w:top w:val="single" w:color="auto" w:sz="4" w:space="0"/>
              <w:left w:val="single" w:color="auto" w:sz="4" w:space="0"/>
              <w:bottom w:val="single" w:color="auto" w:sz="4" w:space="0"/>
              <w:right w:val="single" w:color="auto" w:sz="4" w:space="0"/>
            </w:tcBorders>
          </w:tcPr>
          <w:p w14:paraId="0FE0DF29">
            <w:pPr>
              <w:snapToGrid w:val="0"/>
              <w:spacing w:before="120" w:beforeLines="50"/>
              <w:ind w:left="43"/>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2CED6B3B">
            <w:pPr>
              <w:snapToGrid w:val="0"/>
              <w:spacing w:before="120" w:beforeLines="50"/>
              <w:ind w:left="43"/>
              <w:rPr>
                <w:rFonts w:hint="eastAsia" w:ascii="仿宋_GB2312" w:hAnsi="宋体" w:eastAsia="仿宋_GB2312" w:cs="仿宋_GB2312"/>
                <w:sz w:val="24"/>
              </w:rPr>
            </w:pPr>
          </w:p>
        </w:tc>
      </w:tr>
      <w:tr w14:paraId="2145B3E7">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60" w:hRule="atLeast"/>
          <w:jc w:val="center"/>
        </w:trPr>
        <w:tc>
          <w:tcPr>
            <w:tcW w:w="907" w:type="pct"/>
            <w:tcBorders>
              <w:top w:val="single" w:color="auto" w:sz="4" w:space="0"/>
              <w:left w:val="single" w:color="auto" w:sz="4" w:space="0"/>
              <w:bottom w:val="single" w:color="auto" w:sz="4" w:space="0"/>
              <w:right w:val="single" w:color="auto" w:sz="4" w:space="0"/>
            </w:tcBorders>
          </w:tcPr>
          <w:p w14:paraId="4CA9E8C0">
            <w:pPr>
              <w:snapToGrid w:val="0"/>
              <w:spacing w:before="120" w:beforeLines="50"/>
              <w:rPr>
                <w:rFonts w:ascii="仿宋_GB2312" w:cs="仿宋_GB2312"/>
                <w:sz w:val="24"/>
                <w:szCs w:val="21"/>
              </w:rPr>
            </w:pPr>
            <w:r>
              <w:rPr>
                <w:rFonts w:hint="eastAsia" w:ascii="仿宋_GB2312" w:cs="宋体"/>
                <w:sz w:val="24"/>
                <w:szCs w:val="21"/>
                <w:lang w:bidi="ar"/>
              </w:rPr>
              <w:t>交货地点</w:t>
            </w:r>
          </w:p>
        </w:tc>
        <w:tc>
          <w:tcPr>
            <w:tcW w:w="1583" w:type="pct"/>
            <w:tcBorders>
              <w:top w:val="single" w:color="auto" w:sz="4" w:space="0"/>
              <w:left w:val="single" w:color="auto" w:sz="4" w:space="0"/>
              <w:bottom w:val="single" w:color="auto" w:sz="4" w:space="0"/>
              <w:right w:val="single" w:color="auto" w:sz="4" w:space="0"/>
            </w:tcBorders>
          </w:tcPr>
          <w:p w14:paraId="78F8EBAC">
            <w:pPr>
              <w:snapToGrid w:val="0"/>
              <w:spacing w:before="120" w:beforeLines="50"/>
              <w:rPr>
                <w:rFonts w:hint="eastAsia" w:ascii="仿宋_GB2312" w:hAnsi="宋体" w:cs="仿宋_GB2312"/>
                <w:sz w:val="24"/>
                <w:szCs w:val="21"/>
              </w:rPr>
            </w:pPr>
          </w:p>
          <w:p w14:paraId="568C6B17">
            <w:pPr>
              <w:snapToGrid w:val="0"/>
              <w:spacing w:before="120" w:beforeLines="50"/>
              <w:rPr>
                <w:rFonts w:hint="eastAsia" w:ascii="仿宋_GB2312" w:hAnsi="宋体" w:cs="仿宋_GB2312"/>
                <w:sz w:val="24"/>
                <w:szCs w:val="21"/>
              </w:rPr>
            </w:pPr>
          </w:p>
        </w:tc>
        <w:tc>
          <w:tcPr>
            <w:tcW w:w="738" w:type="pct"/>
            <w:tcBorders>
              <w:top w:val="single" w:color="auto" w:sz="4" w:space="0"/>
              <w:left w:val="single" w:color="auto" w:sz="4" w:space="0"/>
              <w:bottom w:val="single" w:color="auto" w:sz="4" w:space="0"/>
              <w:right w:val="single" w:color="auto" w:sz="4" w:space="0"/>
            </w:tcBorders>
          </w:tcPr>
          <w:p w14:paraId="346F91B0">
            <w:pPr>
              <w:snapToGrid w:val="0"/>
              <w:spacing w:before="120" w:beforeLines="50"/>
              <w:ind w:left="43"/>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3A331C7A">
            <w:pPr>
              <w:snapToGrid w:val="0"/>
              <w:spacing w:before="120" w:beforeLines="50"/>
              <w:ind w:left="43"/>
              <w:rPr>
                <w:rFonts w:hint="eastAsia" w:ascii="仿宋_GB2312" w:hAnsi="宋体" w:eastAsia="仿宋_GB2312" w:cs="仿宋_GB2312"/>
                <w:sz w:val="24"/>
              </w:rPr>
            </w:pPr>
          </w:p>
        </w:tc>
      </w:tr>
      <w:tr w14:paraId="761E9228">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20" w:hRule="atLeast"/>
          <w:jc w:val="center"/>
        </w:trPr>
        <w:tc>
          <w:tcPr>
            <w:tcW w:w="907" w:type="pct"/>
            <w:tcBorders>
              <w:top w:val="single" w:color="auto" w:sz="4" w:space="0"/>
              <w:left w:val="single" w:color="auto" w:sz="4" w:space="0"/>
              <w:bottom w:val="single" w:color="auto" w:sz="4" w:space="0"/>
              <w:right w:val="single" w:color="auto" w:sz="4" w:space="0"/>
            </w:tcBorders>
          </w:tcPr>
          <w:p w14:paraId="0D7DC965">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付款方式</w:t>
            </w:r>
          </w:p>
        </w:tc>
        <w:tc>
          <w:tcPr>
            <w:tcW w:w="1583" w:type="pct"/>
            <w:tcBorders>
              <w:top w:val="single" w:color="auto" w:sz="4" w:space="0"/>
              <w:left w:val="single" w:color="auto" w:sz="4" w:space="0"/>
              <w:bottom w:val="single" w:color="auto" w:sz="4" w:space="0"/>
              <w:right w:val="single" w:color="auto" w:sz="4" w:space="0"/>
            </w:tcBorders>
          </w:tcPr>
          <w:p w14:paraId="0C70EC25">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0B7B78BC">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2DF11305">
            <w:pPr>
              <w:snapToGrid w:val="0"/>
              <w:spacing w:before="120" w:beforeLines="50"/>
              <w:rPr>
                <w:rFonts w:hint="eastAsia" w:ascii="仿宋_GB2312" w:hAnsi="宋体" w:eastAsia="仿宋_GB2312" w:cs="仿宋_GB2312"/>
                <w:sz w:val="24"/>
              </w:rPr>
            </w:pPr>
          </w:p>
        </w:tc>
      </w:tr>
      <w:tr w14:paraId="671A21D6">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40" w:hRule="atLeast"/>
          <w:jc w:val="center"/>
        </w:trPr>
        <w:tc>
          <w:tcPr>
            <w:tcW w:w="907" w:type="pct"/>
            <w:tcBorders>
              <w:top w:val="single" w:color="auto" w:sz="4" w:space="0"/>
              <w:left w:val="single" w:color="auto" w:sz="4" w:space="0"/>
              <w:bottom w:val="single" w:color="auto" w:sz="4" w:space="0"/>
              <w:right w:val="single" w:color="auto" w:sz="4" w:space="0"/>
            </w:tcBorders>
          </w:tcPr>
          <w:p w14:paraId="2D72745B">
            <w:pPr>
              <w:snapToGrid w:val="0"/>
              <w:spacing w:before="120" w:beforeLines="50"/>
              <w:rPr>
                <w:rFonts w:hint="eastAsia" w:ascii="宋体" w:hAnsi="宋体" w:cs="宋体"/>
                <w:sz w:val="24"/>
              </w:rPr>
            </w:pPr>
            <w:r>
              <w:rPr>
                <w:rFonts w:hint="eastAsia" w:ascii="宋体" w:hAnsi="宋体" w:cs="宋体"/>
                <w:sz w:val="24"/>
                <w:lang w:bidi="ar"/>
              </w:rPr>
              <w:t>投标货币</w:t>
            </w:r>
          </w:p>
        </w:tc>
        <w:tc>
          <w:tcPr>
            <w:tcW w:w="1583" w:type="pct"/>
            <w:tcBorders>
              <w:top w:val="single" w:color="auto" w:sz="4" w:space="0"/>
              <w:left w:val="single" w:color="auto" w:sz="4" w:space="0"/>
              <w:bottom w:val="single" w:color="auto" w:sz="4" w:space="0"/>
              <w:right w:val="single" w:color="auto" w:sz="4" w:space="0"/>
            </w:tcBorders>
          </w:tcPr>
          <w:p w14:paraId="42DD5944">
            <w:pPr>
              <w:snapToGrid w:val="0"/>
              <w:spacing w:before="120" w:beforeLines="50"/>
              <w:rPr>
                <w:rFonts w:hint="eastAsia" w:ascii="仿宋_GB2312" w:hAnsi="宋体" w:eastAsia="仿宋_GB2312" w:cs="仿宋_GB2312"/>
                <w:sz w:val="24"/>
              </w:rPr>
            </w:pPr>
          </w:p>
          <w:p w14:paraId="2974C260">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4528D4BF">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067CD862">
            <w:pPr>
              <w:snapToGrid w:val="0"/>
              <w:spacing w:before="120" w:beforeLines="50"/>
              <w:rPr>
                <w:rFonts w:hint="eastAsia" w:ascii="仿宋_GB2312" w:hAnsi="宋体" w:eastAsia="仿宋_GB2312" w:cs="仿宋_GB2312"/>
                <w:sz w:val="24"/>
              </w:rPr>
            </w:pPr>
          </w:p>
        </w:tc>
      </w:tr>
      <w:tr w14:paraId="1442B3B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00" w:hRule="atLeast"/>
          <w:jc w:val="center"/>
        </w:trPr>
        <w:tc>
          <w:tcPr>
            <w:tcW w:w="907" w:type="pct"/>
            <w:tcBorders>
              <w:top w:val="single" w:color="auto" w:sz="4" w:space="0"/>
              <w:left w:val="single" w:color="auto" w:sz="4" w:space="0"/>
              <w:bottom w:val="single" w:color="auto" w:sz="4" w:space="0"/>
              <w:right w:val="single" w:color="auto" w:sz="4" w:space="0"/>
            </w:tcBorders>
          </w:tcPr>
          <w:p w14:paraId="45D9C819">
            <w:pPr>
              <w:snapToGrid w:val="0"/>
              <w:spacing w:before="120" w:beforeLines="50"/>
              <w:rPr>
                <w:rFonts w:ascii="仿宋_GB2312" w:cs="仿宋_GB2312"/>
                <w:sz w:val="24"/>
                <w:szCs w:val="21"/>
              </w:rPr>
            </w:pPr>
            <w:r>
              <w:rPr>
                <w:rFonts w:hint="eastAsia" w:ascii="仿宋_GB2312" w:cs="宋体"/>
                <w:sz w:val="24"/>
                <w:szCs w:val="21"/>
                <w:lang w:bidi="ar"/>
              </w:rPr>
              <w:t>备品备件及耗材等要求</w:t>
            </w:r>
          </w:p>
        </w:tc>
        <w:tc>
          <w:tcPr>
            <w:tcW w:w="1583" w:type="pct"/>
            <w:tcBorders>
              <w:top w:val="single" w:color="auto" w:sz="4" w:space="0"/>
              <w:left w:val="single" w:color="auto" w:sz="4" w:space="0"/>
              <w:bottom w:val="single" w:color="auto" w:sz="4" w:space="0"/>
              <w:right w:val="single" w:color="auto" w:sz="4" w:space="0"/>
            </w:tcBorders>
          </w:tcPr>
          <w:p w14:paraId="5D01FFE8">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7D66B34F">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40C7C009">
            <w:pPr>
              <w:snapToGrid w:val="0"/>
              <w:spacing w:before="120" w:beforeLines="50"/>
              <w:rPr>
                <w:rFonts w:hint="eastAsia" w:ascii="仿宋_GB2312" w:hAnsi="宋体" w:eastAsia="仿宋_GB2312" w:cs="仿宋_GB2312"/>
                <w:sz w:val="24"/>
              </w:rPr>
            </w:pPr>
          </w:p>
        </w:tc>
      </w:tr>
      <w:tr w14:paraId="7C0B853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jc w:val="center"/>
        </w:trPr>
        <w:tc>
          <w:tcPr>
            <w:tcW w:w="907" w:type="pct"/>
            <w:tcBorders>
              <w:top w:val="single" w:color="auto" w:sz="4" w:space="0"/>
              <w:left w:val="single" w:color="auto" w:sz="4" w:space="0"/>
              <w:bottom w:val="single" w:color="auto" w:sz="4" w:space="0"/>
              <w:right w:val="single" w:color="auto" w:sz="4" w:space="0"/>
            </w:tcBorders>
          </w:tcPr>
          <w:p w14:paraId="049C12EE">
            <w:pPr>
              <w:snapToGrid w:val="0"/>
              <w:spacing w:before="120" w:beforeLines="50"/>
              <w:rPr>
                <w:rFonts w:hint="eastAsia" w:ascii="仿宋_GB2312" w:hAnsi="宋体" w:eastAsia="仿宋_GB2312" w:cs="仿宋_GB2312"/>
                <w:sz w:val="24"/>
              </w:rPr>
            </w:pPr>
            <w:r>
              <w:rPr>
                <w:rFonts w:hint="eastAsia" w:ascii="仿宋_GB2312" w:hAnsi="宋体" w:cs="宋体"/>
                <w:sz w:val="24"/>
                <w:szCs w:val="21"/>
                <w:lang w:bidi="ar"/>
              </w:rPr>
              <w:t>其他</w:t>
            </w:r>
          </w:p>
        </w:tc>
        <w:tc>
          <w:tcPr>
            <w:tcW w:w="1583" w:type="pct"/>
            <w:tcBorders>
              <w:top w:val="single" w:color="auto" w:sz="4" w:space="0"/>
              <w:left w:val="single" w:color="auto" w:sz="4" w:space="0"/>
              <w:bottom w:val="single" w:color="auto" w:sz="4" w:space="0"/>
              <w:right w:val="single" w:color="auto" w:sz="4" w:space="0"/>
            </w:tcBorders>
          </w:tcPr>
          <w:p w14:paraId="400EB706">
            <w:pPr>
              <w:snapToGrid w:val="0"/>
              <w:spacing w:before="120" w:beforeLines="50"/>
              <w:rPr>
                <w:rFonts w:hint="eastAsia" w:ascii="仿宋_GB2312" w:hAnsi="宋体" w:eastAsia="仿宋_GB2312" w:cs="仿宋_GB2312"/>
                <w:sz w:val="24"/>
              </w:rPr>
            </w:pPr>
          </w:p>
        </w:tc>
        <w:tc>
          <w:tcPr>
            <w:tcW w:w="738" w:type="pct"/>
            <w:tcBorders>
              <w:top w:val="single" w:color="auto" w:sz="4" w:space="0"/>
              <w:left w:val="single" w:color="auto" w:sz="4" w:space="0"/>
              <w:bottom w:val="single" w:color="auto" w:sz="4" w:space="0"/>
              <w:right w:val="single" w:color="auto" w:sz="4" w:space="0"/>
            </w:tcBorders>
          </w:tcPr>
          <w:p w14:paraId="172238CF">
            <w:pPr>
              <w:snapToGrid w:val="0"/>
              <w:spacing w:before="120" w:beforeLines="50"/>
              <w:rPr>
                <w:rFonts w:hint="eastAsia" w:ascii="仿宋_GB2312" w:hAnsi="宋体" w:eastAsia="仿宋_GB2312" w:cs="仿宋_GB2312"/>
                <w:sz w:val="24"/>
              </w:rPr>
            </w:pPr>
          </w:p>
        </w:tc>
        <w:tc>
          <w:tcPr>
            <w:tcW w:w="1770" w:type="pct"/>
            <w:tcBorders>
              <w:top w:val="single" w:color="auto" w:sz="4" w:space="0"/>
              <w:left w:val="single" w:color="auto" w:sz="4" w:space="0"/>
              <w:bottom w:val="single" w:color="auto" w:sz="4" w:space="0"/>
              <w:right w:val="single" w:color="auto" w:sz="4" w:space="0"/>
            </w:tcBorders>
          </w:tcPr>
          <w:p w14:paraId="4C34F203">
            <w:pPr>
              <w:snapToGrid w:val="0"/>
              <w:spacing w:before="120" w:beforeLines="50"/>
              <w:rPr>
                <w:rFonts w:hint="eastAsia" w:ascii="仿宋_GB2312" w:hAnsi="宋体" w:eastAsia="仿宋_GB2312" w:cs="仿宋_GB2312"/>
                <w:sz w:val="24"/>
              </w:rPr>
            </w:pPr>
          </w:p>
        </w:tc>
      </w:tr>
    </w:tbl>
    <w:p w14:paraId="0236B61B">
      <w:pPr>
        <w:rPr>
          <w:rFonts w:hint="eastAsia" w:ascii="宋体" w:hAnsi="宋体" w:cs="宋体"/>
          <w:sz w:val="24"/>
        </w:rPr>
      </w:pPr>
      <w:r>
        <w:rPr>
          <w:rFonts w:hint="eastAsia" w:ascii="宋体" w:hAnsi="宋体" w:cs="宋体"/>
          <w:sz w:val="24"/>
          <w:lang w:bidi="ar"/>
        </w:rPr>
        <w:t>法定代表人或授权代表签字：</w:t>
      </w:r>
    </w:p>
    <w:p w14:paraId="7A124B85">
      <w:pPr>
        <w:pStyle w:val="16"/>
        <w:wordWrap w:val="0"/>
        <w:spacing w:before="0" w:beforeAutospacing="0" w:after="0" w:afterAutospacing="0" w:line="390" w:lineRule="atLeast"/>
        <w:jc w:val="center"/>
        <w:rPr>
          <w:rFonts w:hint="eastAsia" w:ascii="微软雅黑" w:hAnsi="微软雅黑" w:eastAsia="微软雅黑" w:cs="微软雅黑"/>
          <w:b/>
          <w:sz w:val="32"/>
          <w:szCs w:val="32"/>
          <w:shd w:val="clear" w:color="auto" w:fill="FFFFFF"/>
        </w:rPr>
      </w:pPr>
    </w:p>
    <w:p w14:paraId="78B164FE">
      <w:pPr>
        <w:pStyle w:val="16"/>
        <w:wordWrap w:val="0"/>
        <w:spacing w:before="0" w:beforeAutospacing="0" w:after="0" w:afterAutospacing="0" w:line="390" w:lineRule="atLeast"/>
        <w:jc w:val="center"/>
        <w:rPr>
          <w:rFonts w:hint="eastAsia" w:ascii="微软雅黑" w:hAnsi="微软雅黑" w:eastAsia="微软雅黑" w:cs="微软雅黑"/>
          <w:b/>
          <w:sz w:val="32"/>
          <w:szCs w:val="32"/>
          <w:shd w:val="clear" w:color="auto" w:fill="FFFFFF"/>
        </w:rPr>
      </w:pPr>
    </w:p>
    <w:p w14:paraId="57C8D91B">
      <w:pPr>
        <w:pStyle w:val="16"/>
        <w:wordWrap w:val="0"/>
        <w:spacing w:before="0" w:beforeAutospacing="0" w:after="0" w:afterAutospacing="0" w:line="390" w:lineRule="atLeast"/>
        <w:jc w:val="center"/>
        <w:rPr>
          <w:rFonts w:hint="eastAsia" w:ascii="微软雅黑" w:hAnsi="微软雅黑" w:eastAsia="微软雅黑" w:cs="微软雅黑"/>
          <w:b/>
          <w:sz w:val="32"/>
          <w:szCs w:val="32"/>
          <w:shd w:val="clear" w:color="auto" w:fill="FFFFFF"/>
        </w:rPr>
      </w:pPr>
    </w:p>
    <w:p w14:paraId="53A66C71">
      <w:pPr>
        <w:pStyle w:val="16"/>
        <w:wordWrap w:val="0"/>
        <w:spacing w:before="0" w:beforeAutospacing="0" w:after="0" w:afterAutospacing="0" w:line="390" w:lineRule="atLeast"/>
        <w:jc w:val="center"/>
        <w:rPr>
          <w:rFonts w:hint="eastAsia" w:ascii="微软雅黑" w:hAnsi="微软雅黑" w:eastAsia="微软雅黑" w:cs="微软雅黑"/>
          <w:b/>
          <w:sz w:val="32"/>
          <w:szCs w:val="32"/>
          <w:shd w:val="clear" w:color="auto" w:fill="FFFFFF"/>
        </w:rPr>
      </w:pPr>
    </w:p>
    <w:p w14:paraId="3237E2DF">
      <w:pPr>
        <w:ind w:firstLine="641"/>
        <w:jc w:val="center"/>
        <w:rPr>
          <w:rFonts w:hint="eastAsia" w:ascii="微软雅黑" w:hAnsi="微软雅黑" w:eastAsia="微软雅黑" w:cs="微软雅黑"/>
          <w:b/>
          <w:sz w:val="32"/>
          <w:szCs w:val="32"/>
          <w:shd w:val="clear" w:color="auto" w:fill="FFFFFF"/>
        </w:rPr>
      </w:pPr>
      <w:bookmarkStart w:id="1" w:name="_三、诚信承诺函"/>
      <w:bookmarkStart w:id="2" w:name="_Toc29991"/>
      <w:r>
        <w:rPr>
          <w:rFonts w:hint="eastAsia" w:ascii="黑体" w:hAnsi="黑体" w:cs="黑体"/>
          <w:sz w:val="30"/>
          <w:szCs w:val="30"/>
          <w:lang w:val="en-GB"/>
        </w:rPr>
        <w:br w:type="page"/>
      </w:r>
      <w:bookmarkEnd w:id="1"/>
      <w:bookmarkEnd w:id="2"/>
    </w:p>
    <w:p w14:paraId="57374709">
      <w:pPr>
        <w:pStyle w:val="16"/>
        <w:wordWrap w:val="0"/>
        <w:spacing w:before="0" w:beforeAutospacing="0" w:after="0" w:afterAutospacing="0" w:line="390" w:lineRule="atLeast"/>
        <w:jc w:val="center"/>
        <w:rPr>
          <w:rFonts w:hint="eastAsia"/>
          <w:sz w:val="32"/>
          <w:szCs w:val="32"/>
        </w:rPr>
      </w:pPr>
      <w:r>
        <w:rPr>
          <w:rFonts w:hint="eastAsia" w:ascii="微软雅黑" w:hAnsi="微软雅黑" w:eastAsia="微软雅黑" w:cs="微软雅黑"/>
          <w:b/>
          <w:sz w:val="32"/>
          <w:szCs w:val="32"/>
          <w:shd w:val="clear" w:color="auto" w:fill="FFFFFF"/>
        </w:rPr>
        <w:t>投标报价总</w:t>
      </w:r>
      <w:r>
        <w:rPr>
          <w:rFonts w:ascii="微软雅黑" w:hAnsi="微软雅黑" w:eastAsia="微软雅黑" w:cs="微软雅黑"/>
          <w:b/>
          <w:sz w:val="32"/>
          <w:szCs w:val="32"/>
          <w:shd w:val="clear" w:color="auto" w:fill="FFFFFF"/>
        </w:rPr>
        <w:t>表</w:t>
      </w:r>
    </w:p>
    <w:p w14:paraId="3B8E31FF">
      <w:pPr>
        <w:spacing w:line="360" w:lineRule="auto"/>
        <w:ind w:firstLine="641"/>
        <w:jc w:val="left"/>
        <w:rPr>
          <w:rFonts w:hint="eastAsia" w:ascii="微软雅黑" w:hAnsi="微软雅黑" w:eastAsia="微软雅黑" w:cs="微软雅黑"/>
          <w:sz w:val="19"/>
          <w:szCs w:val="19"/>
          <w:shd w:val="clear" w:color="auto" w:fill="FFFFFF"/>
        </w:rPr>
      </w:pPr>
    </w:p>
    <w:p w14:paraId="10DF5FD7">
      <w:pPr>
        <w:spacing w:line="360" w:lineRule="auto"/>
        <w:ind w:firstLine="641"/>
        <w:jc w:val="left"/>
        <w:rPr>
          <w:rFonts w:hint="eastAsia" w:ascii="宋体" w:hAnsi="宋体" w:cs="宋体"/>
          <w:b/>
          <w:color w:val="000000"/>
          <w:sz w:val="32"/>
          <w:szCs w:val="32"/>
          <w:u w:val="single"/>
          <w:lang w:bidi="ar"/>
        </w:rPr>
      </w:pPr>
      <w:r>
        <w:rPr>
          <w:rFonts w:hint="eastAsia" w:ascii="微软雅黑" w:hAnsi="微软雅黑" w:eastAsia="微软雅黑" w:cs="微软雅黑"/>
          <w:sz w:val="19"/>
          <w:szCs w:val="19"/>
          <w:shd w:val="clear" w:color="auto" w:fill="FFFFFF"/>
        </w:rPr>
        <w:t>投标人全称（加盖公章）：</w:t>
      </w:r>
      <w:r>
        <w:rPr>
          <w:rFonts w:hint="eastAsia" w:ascii="宋体" w:hAnsi="宋体" w:cs="宋体"/>
          <w:b/>
          <w:color w:val="000000"/>
          <w:sz w:val="32"/>
          <w:szCs w:val="32"/>
          <w:u w:val="single"/>
          <w:lang w:bidi="ar"/>
        </w:rPr>
        <w:t xml:space="preserve">                </w:t>
      </w:r>
    </w:p>
    <w:p w14:paraId="53FDBBA9">
      <w:pPr>
        <w:spacing w:line="360" w:lineRule="auto"/>
        <w:ind w:firstLine="641"/>
        <w:jc w:val="left"/>
        <w:rPr>
          <w:rFonts w:hint="eastAsia" w:ascii="微软雅黑" w:hAnsi="微软雅黑" w:eastAsia="微软雅黑" w:cs="微软雅黑"/>
          <w:sz w:val="19"/>
          <w:szCs w:val="19"/>
          <w:shd w:val="clear" w:color="auto" w:fill="FFFFFF"/>
        </w:rPr>
      </w:pPr>
      <w:r>
        <w:rPr>
          <w:rFonts w:hint="eastAsia" w:ascii="微软雅黑" w:hAnsi="微软雅黑" w:eastAsia="微软雅黑" w:cs="微软雅黑"/>
          <w:sz w:val="19"/>
          <w:szCs w:val="19"/>
          <w:shd w:val="clear" w:color="auto" w:fill="FFFFFF"/>
        </w:rPr>
        <w:t xml:space="preserve">项目名称： </w:t>
      </w:r>
      <w:r>
        <w:rPr>
          <w:rFonts w:hint="eastAsia" w:ascii="微软雅黑" w:hAnsi="微软雅黑" w:eastAsia="微软雅黑" w:cs="微软雅黑"/>
          <w:sz w:val="19"/>
          <w:szCs w:val="19"/>
          <w:u w:val="single"/>
          <w:shd w:val="clear" w:color="auto" w:fill="FFFFFF"/>
        </w:rPr>
        <w:t xml:space="preserve">                                        </w:t>
      </w:r>
      <w:r>
        <w:rPr>
          <w:rFonts w:hint="eastAsia" w:ascii="微软雅黑" w:hAnsi="微软雅黑" w:eastAsia="微软雅黑" w:cs="微软雅黑"/>
          <w:sz w:val="19"/>
          <w:szCs w:val="19"/>
          <w:shd w:val="clear" w:color="auto" w:fill="FFFFFF"/>
        </w:rPr>
        <w:t xml:space="preserve">       </w:t>
      </w:r>
    </w:p>
    <w:p w14:paraId="0887ACC3">
      <w:pPr>
        <w:spacing w:line="360" w:lineRule="auto"/>
        <w:ind w:firstLine="641"/>
        <w:jc w:val="left"/>
        <w:rPr>
          <w:rFonts w:hint="eastAsia" w:ascii="微软雅黑" w:hAnsi="微软雅黑" w:eastAsia="微软雅黑" w:cs="微软雅黑"/>
          <w:sz w:val="19"/>
          <w:szCs w:val="19"/>
          <w:shd w:val="clear" w:color="auto" w:fill="FFFFFF"/>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0"/>
        <w:gridCol w:w="4940"/>
      </w:tblGrid>
      <w:tr w14:paraId="0B611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940" w:type="dxa"/>
          </w:tcPr>
          <w:p w14:paraId="677EDA2F">
            <w:pPr>
              <w:spacing w:line="360" w:lineRule="auto"/>
              <w:jc w:val="left"/>
              <w:rPr>
                <w:rFonts w:hint="eastAsia" w:ascii="微软雅黑" w:hAnsi="微软雅黑" w:eastAsia="微软雅黑" w:cs="微软雅黑"/>
                <w:sz w:val="19"/>
                <w:szCs w:val="19"/>
                <w:shd w:val="clear" w:color="auto" w:fill="FFFFFF"/>
              </w:rPr>
            </w:pPr>
            <w:r>
              <w:rPr>
                <w:rFonts w:hint="eastAsia" w:ascii="微软雅黑" w:hAnsi="微软雅黑" w:eastAsia="微软雅黑" w:cs="微软雅黑"/>
                <w:sz w:val="19"/>
                <w:szCs w:val="19"/>
                <w:lang w:bidi="ar"/>
              </w:rPr>
              <w:t xml:space="preserve">投标货物、服务名称 </w:t>
            </w:r>
          </w:p>
        </w:tc>
        <w:tc>
          <w:tcPr>
            <w:tcW w:w="4940" w:type="dxa"/>
          </w:tcPr>
          <w:p w14:paraId="5CB511C9">
            <w:pPr>
              <w:spacing w:line="360" w:lineRule="auto"/>
              <w:jc w:val="left"/>
              <w:rPr>
                <w:rFonts w:hint="eastAsia" w:ascii="微软雅黑" w:hAnsi="微软雅黑" w:eastAsia="微软雅黑" w:cs="微软雅黑"/>
                <w:sz w:val="19"/>
                <w:szCs w:val="19"/>
                <w:shd w:val="clear" w:color="auto" w:fill="FFFFFF"/>
              </w:rPr>
            </w:pPr>
            <w:r>
              <w:rPr>
                <w:rFonts w:hint="eastAsia" w:ascii="微软雅黑" w:hAnsi="微软雅黑" w:eastAsia="微软雅黑" w:cs="微软雅黑"/>
                <w:sz w:val="19"/>
                <w:szCs w:val="19"/>
                <w:lang w:bidi="ar"/>
              </w:rPr>
              <w:t xml:space="preserve">投标总报价 </w:t>
            </w:r>
          </w:p>
        </w:tc>
      </w:tr>
      <w:tr w14:paraId="2A780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4940" w:type="dxa"/>
          </w:tcPr>
          <w:p w14:paraId="0120C221">
            <w:pPr>
              <w:spacing w:line="360" w:lineRule="auto"/>
              <w:jc w:val="left"/>
              <w:rPr>
                <w:rFonts w:hint="eastAsia" w:ascii="微软雅黑" w:hAnsi="微软雅黑" w:eastAsia="微软雅黑" w:cs="微软雅黑"/>
                <w:sz w:val="19"/>
                <w:szCs w:val="19"/>
                <w:shd w:val="clear" w:color="auto" w:fill="FFFFFF"/>
              </w:rPr>
            </w:pPr>
          </w:p>
          <w:p w14:paraId="4764C48D">
            <w:pPr>
              <w:spacing w:line="360" w:lineRule="auto"/>
              <w:jc w:val="left"/>
              <w:rPr>
                <w:rFonts w:hint="eastAsia" w:ascii="微软雅黑" w:hAnsi="微软雅黑" w:eastAsia="微软雅黑" w:cs="微软雅黑"/>
                <w:sz w:val="19"/>
                <w:szCs w:val="19"/>
                <w:shd w:val="clear" w:color="auto" w:fill="FFFFFF"/>
              </w:rPr>
            </w:pPr>
          </w:p>
        </w:tc>
        <w:tc>
          <w:tcPr>
            <w:tcW w:w="4940" w:type="dxa"/>
          </w:tcPr>
          <w:p w14:paraId="47615D67">
            <w:pPr>
              <w:spacing w:line="360" w:lineRule="auto"/>
              <w:jc w:val="left"/>
              <w:rPr>
                <w:rFonts w:hint="eastAsia" w:ascii="微软雅黑" w:hAnsi="微软雅黑" w:eastAsia="微软雅黑" w:cs="微软雅黑"/>
                <w:sz w:val="19"/>
                <w:szCs w:val="19"/>
                <w:lang w:bidi="ar"/>
              </w:rPr>
            </w:pPr>
            <w:r>
              <w:rPr>
                <w:rFonts w:hint="eastAsia" w:ascii="微软雅黑" w:hAnsi="微软雅黑" w:eastAsia="微软雅黑" w:cs="微软雅黑"/>
                <w:sz w:val="19"/>
                <w:szCs w:val="19"/>
                <w:lang w:bidi="ar"/>
              </w:rPr>
              <w:t>大写：</w:t>
            </w:r>
          </w:p>
          <w:p w14:paraId="758A373A">
            <w:pPr>
              <w:spacing w:line="360" w:lineRule="auto"/>
              <w:jc w:val="left"/>
              <w:rPr>
                <w:rFonts w:hint="eastAsia" w:ascii="微软雅黑" w:hAnsi="微软雅黑" w:eastAsia="微软雅黑" w:cs="微软雅黑"/>
                <w:sz w:val="19"/>
                <w:szCs w:val="19"/>
                <w:lang w:bidi="ar"/>
              </w:rPr>
            </w:pPr>
            <w:r>
              <w:rPr>
                <w:rFonts w:hint="eastAsia" w:ascii="微软雅黑" w:hAnsi="微软雅黑" w:eastAsia="微软雅黑" w:cs="微软雅黑"/>
                <w:sz w:val="19"/>
                <w:szCs w:val="19"/>
                <w:lang w:bidi="ar"/>
              </w:rPr>
              <w:t xml:space="preserve">小写：                元（人民币）   </w:t>
            </w:r>
          </w:p>
        </w:tc>
      </w:tr>
      <w:tr w14:paraId="19271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4940" w:type="dxa"/>
          </w:tcPr>
          <w:p w14:paraId="7032B0C2">
            <w:pPr>
              <w:spacing w:line="360" w:lineRule="auto"/>
              <w:jc w:val="left"/>
              <w:rPr>
                <w:rFonts w:hint="eastAsia" w:ascii="微软雅黑" w:hAnsi="微软雅黑" w:eastAsia="微软雅黑" w:cs="微软雅黑"/>
                <w:sz w:val="19"/>
                <w:szCs w:val="19"/>
                <w:shd w:val="clear" w:color="auto" w:fill="FFFFFF"/>
              </w:rPr>
            </w:pPr>
            <w:r>
              <w:rPr>
                <w:rFonts w:hint="eastAsia" w:ascii="微软雅黑" w:hAnsi="微软雅黑" w:eastAsia="微软雅黑" w:cs="微软雅黑"/>
                <w:sz w:val="19"/>
                <w:szCs w:val="19"/>
                <w:lang w:bidi="ar"/>
              </w:rPr>
              <w:t>主要货物、服务制造商及产地</w:t>
            </w:r>
          </w:p>
        </w:tc>
        <w:tc>
          <w:tcPr>
            <w:tcW w:w="4940" w:type="dxa"/>
          </w:tcPr>
          <w:p w14:paraId="409D01F8">
            <w:pPr>
              <w:spacing w:line="360" w:lineRule="auto"/>
              <w:jc w:val="left"/>
              <w:rPr>
                <w:rFonts w:hint="eastAsia" w:ascii="微软雅黑" w:hAnsi="微软雅黑" w:eastAsia="微软雅黑" w:cs="微软雅黑"/>
                <w:sz w:val="19"/>
                <w:szCs w:val="19"/>
                <w:shd w:val="clear" w:color="auto" w:fill="FFFFFF"/>
              </w:rPr>
            </w:pPr>
          </w:p>
        </w:tc>
      </w:tr>
      <w:tr w14:paraId="6202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4940" w:type="dxa"/>
          </w:tcPr>
          <w:p w14:paraId="005A8726">
            <w:pPr>
              <w:spacing w:line="360" w:lineRule="auto"/>
              <w:jc w:val="left"/>
              <w:rPr>
                <w:rFonts w:hint="eastAsia" w:ascii="微软雅黑" w:hAnsi="微软雅黑" w:eastAsia="微软雅黑" w:cs="微软雅黑"/>
                <w:sz w:val="19"/>
                <w:szCs w:val="19"/>
                <w:shd w:val="clear" w:color="auto" w:fill="FFFFFF"/>
              </w:rPr>
            </w:pPr>
          </w:p>
        </w:tc>
        <w:tc>
          <w:tcPr>
            <w:tcW w:w="4940" w:type="dxa"/>
          </w:tcPr>
          <w:p w14:paraId="51C0FDAA">
            <w:pPr>
              <w:spacing w:line="360" w:lineRule="auto"/>
              <w:jc w:val="left"/>
              <w:rPr>
                <w:rFonts w:hint="eastAsia" w:ascii="微软雅黑" w:hAnsi="微软雅黑" w:eastAsia="微软雅黑" w:cs="微软雅黑"/>
                <w:sz w:val="19"/>
                <w:szCs w:val="19"/>
                <w:shd w:val="clear" w:color="auto" w:fill="FFFFFF"/>
              </w:rPr>
            </w:pPr>
          </w:p>
        </w:tc>
      </w:tr>
    </w:tbl>
    <w:p w14:paraId="52EB67DC">
      <w:pPr>
        <w:spacing w:line="360" w:lineRule="auto"/>
        <w:ind w:firstLine="641"/>
        <w:jc w:val="left"/>
        <w:rPr>
          <w:rFonts w:hint="eastAsia" w:ascii="微软雅黑" w:hAnsi="微软雅黑" w:eastAsia="微软雅黑" w:cs="微软雅黑"/>
          <w:sz w:val="19"/>
          <w:szCs w:val="19"/>
          <w:shd w:val="clear" w:color="auto" w:fill="FFFFFF"/>
        </w:rPr>
      </w:pPr>
    </w:p>
    <w:p w14:paraId="6E0FC949">
      <w:pPr>
        <w:pStyle w:val="16"/>
        <w:wordWrap w:val="0"/>
        <w:spacing w:before="0" w:beforeAutospacing="0" w:after="0" w:afterAutospacing="0" w:line="360" w:lineRule="auto"/>
        <w:ind w:firstLine="3230" w:firstLineChars="1700"/>
        <w:rPr>
          <w:rFonts w:hint="eastAsia"/>
        </w:rPr>
      </w:pPr>
      <w:r>
        <w:rPr>
          <w:rFonts w:ascii="微软雅黑" w:hAnsi="微软雅黑" w:eastAsia="微软雅黑" w:cs="微软雅黑"/>
          <w:sz w:val="19"/>
          <w:szCs w:val="19"/>
          <w:shd w:val="clear" w:color="auto" w:fill="FFFFFF"/>
        </w:rPr>
        <w:t>日期：</w:t>
      </w:r>
    </w:p>
    <w:p w14:paraId="573D182A">
      <w:pPr>
        <w:spacing w:line="360" w:lineRule="auto"/>
        <w:ind w:firstLine="641"/>
        <w:jc w:val="center"/>
        <w:rPr>
          <w:rFonts w:hint="eastAsia" w:ascii="宋体" w:hAnsi="宋体" w:cs="宋体"/>
          <w:b/>
          <w:color w:val="000000"/>
          <w:sz w:val="32"/>
          <w:szCs w:val="32"/>
          <w:lang w:bidi="ar"/>
        </w:rPr>
      </w:pPr>
    </w:p>
    <w:p w14:paraId="0B209CF4">
      <w:pPr>
        <w:spacing w:line="360" w:lineRule="auto"/>
        <w:ind w:firstLine="641"/>
        <w:jc w:val="center"/>
        <w:rPr>
          <w:rFonts w:hint="eastAsia" w:ascii="宋体" w:hAnsi="宋体" w:cs="宋体"/>
          <w:b/>
          <w:color w:val="000000"/>
          <w:sz w:val="32"/>
          <w:szCs w:val="32"/>
          <w:lang w:bidi="ar"/>
        </w:rPr>
      </w:pPr>
    </w:p>
    <w:p w14:paraId="6392B017">
      <w:pPr>
        <w:pStyle w:val="16"/>
        <w:wordWrap w:val="0"/>
        <w:spacing w:before="0" w:beforeAutospacing="0" w:after="0" w:afterAutospacing="0" w:line="360" w:lineRule="auto"/>
        <w:rPr>
          <w:rFonts w:hint="eastAsia"/>
          <w:b/>
          <w:color w:val="000000"/>
          <w:sz w:val="32"/>
          <w:szCs w:val="32"/>
          <w:lang w:bidi="ar"/>
        </w:rPr>
      </w:pPr>
      <w:r>
        <w:rPr>
          <w:rFonts w:ascii="微软雅黑" w:hAnsi="微软雅黑" w:eastAsia="微软雅黑" w:cs="微软雅黑"/>
          <w:sz w:val="19"/>
          <w:szCs w:val="19"/>
          <w:shd w:val="clear" w:color="auto" w:fill="FFFFFF"/>
        </w:rPr>
        <w:t>填写说明：</w:t>
      </w:r>
      <w:r>
        <w:rPr>
          <w:rFonts w:hint="eastAsia" w:ascii="微软雅黑" w:hAnsi="微软雅黑" w:eastAsia="微软雅黑" w:cs="微软雅黑"/>
          <w:sz w:val="19"/>
          <w:szCs w:val="19"/>
          <w:shd w:val="clear" w:color="auto" w:fill="FFFFFF"/>
        </w:rPr>
        <w:t>投标报价总表必须加盖投标单位公章（复印件无效）。</w:t>
      </w:r>
    </w:p>
    <w:p w14:paraId="28EEE262">
      <w:pPr>
        <w:ind w:firstLine="641"/>
        <w:jc w:val="center"/>
        <w:rPr>
          <w:rFonts w:hint="eastAsia" w:ascii="宋体" w:hAnsi="宋体" w:cs="宋体"/>
          <w:b/>
          <w:color w:val="000000"/>
          <w:sz w:val="32"/>
          <w:szCs w:val="32"/>
          <w:lang w:bidi="ar"/>
        </w:rPr>
      </w:pPr>
    </w:p>
    <w:p w14:paraId="19FED0FB">
      <w:pPr>
        <w:ind w:firstLine="641"/>
        <w:jc w:val="center"/>
        <w:rPr>
          <w:rFonts w:hint="eastAsia" w:ascii="宋体" w:hAnsi="宋体" w:cs="宋体"/>
          <w:b/>
          <w:color w:val="000000"/>
          <w:sz w:val="32"/>
          <w:szCs w:val="32"/>
          <w:lang w:bidi="ar"/>
        </w:rPr>
      </w:pPr>
    </w:p>
    <w:p w14:paraId="4733B321">
      <w:pPr>
        <w:ind w:firstLine="641"/>
        <w:jc w:val="center"/>
        <w:rPr>
          <w:rFonts w:hint="eastAsia" w:ascii="宋体" w:hAnsi="宋体" w:cs="宋体"/>
          <w:b/>
          <w:color w:val="000000"/>
          <w:sz w:val="32"/>
          <w:szCs w:val="32"/>
          <w:lang w:bidi="ar"/>
        </w:rPr>
      </w:pPr>
    </w:p>
    <w:p w14:paraId="6AAB1725">
      <w:pPr>
        <w:ind w:firstLine="641"/>
        <w:jc w:val="center"/>
        <w:rPr>
          <w:rFonts w:hint="eastAsia" w:ascii="宋体" w:hAnsi="宋体" w:cs="宋体"/>
          <w:b/>
          <w:color w:val="000000"/>
          <w:sz w:val="32"/>
          <w:szCs w:val="32"/>
          <w:lang w:bidi="ar"/>
        </w:rPr>
      </w:pPr>
    </w:p>
    <w:p w14:paraId="51FCBA35">
      <w:pPr>
        <w:pStyle w:val="63"/>
        <w:spacing w:line="560" w:lineRule="atLeast"/>
      </w:pPr>
    </w:p>
    <w:sectPr>
      <w:footerReference r:id="rId3" w:type="default"/>
      <w:pgSz w:w="11907" w:h="16839"/>
      <w:pgMar w:top="1440" w:right="1080" w:bottom="1440" w:left="108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2D959">
    <w:pPr>
      <w:pStyle w:val="12"/>
      <w:jc w:val="center"/>
    </w:pPr>
    <w:r>
      <w:fldChar w:fldCharType="begin"/>
    </w:r>
    <w:r>
      <w:instrText xml:space="preserve"> PAGE   \* MERGEFORMAT </w:instrText>
    </w:r>
    <w:r>
      <w:fldChar w:fldCharType="separate"/>
    </w:r>
    <w:r>
      <w:rPr>
        <w:lang w:val="zh-CN"/>
      </w:rPr>
      <w:t>16</w:t>
    </w:r>
    <w:r>
      <w:fldChar w:fldCharType="end"/>
    </w:r>
  </w:p>
  <w:p w14:paraId="392DE1AD">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ED1D4F"/>
    <w:multiLevelType w:val="singleLevel"/>
    <w:tmpl w:val="36ED1D4F"/>
    <w:lvl w:ilvl="0" w:tentative="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43"/>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Mzc1ZDcxZGM2NjNjZTI4Mzk3ZWQ2NjRjMDA0NzQifQ=="/>
  </w:docVars>
  <w:rsids>
    <w:rsidRoot w:val="00E1428C"/>
    <w:rsid w:val="00004FB3"/>
    <w:rsid w:val="00005A48"/>
    <w:rsid w:val="00007342"/>
    <w:rsid w:val="000101C0"/>
    <w:rsid w:val="00011F29"/>
    <w:rsid w:val="00025889"/>
    <w:rsid w:val="00027214"/>
    <w:rsid w:val="00030450"/>
    <w:rsid w:val="00035F29"/>
    <w:rsid w:val="000363E7"/>
    <w:rsid w:val="00036413"/>
    <w:rsid w:val="00040BC7"/>
    <w:rsid w:val="0004687B"/>
    <w:rsid w:val="00055355"/>
    <w:rsid w:val="0006533C"/>
    <w:rsid w:val="00065F77"/>
    <w:rsid w:val="000707B4"/>
    <w:rsid w:val="000733BC"/>
    <w:rsid w:val="000733D5"/>
    <w:rsid w:val="000750B2"/>
    <w:rsid w:val="00077641"/>
    <w:rsid w:val="000811BB"/>
    <w:rsid w:val="000860E4"/>
    <w:rsid w:val="000A2646"/>
    <w:rsid w:val="000A37A2"/>
    <w:rsid w:val="000A5C68"/>
    <w:rsid w:val="000C34F4"/>
    <w:rsid w:val="000C6148"/>
    <w:rsid w:val="000C6432"/>
    <w:rsid w:val="000C7FD8"/>
    <w:rsid w:val="000D5C3B"/>
    <w:rsid w:val="000E2F2C"/>
    <w:rsid w:val="000E4CC8"/>
    <w:rsid w:val="000F23EA"/>
    <w:rsid w:val="000F28DF"/>
    <w:rsid w:val="001027E1"/>
    <w:rsid w:val="00110B32"/>
    <w:rsid w:val="00116E44"/>
    <w:rsid w:val="00120066"/>
    <w:rsid w:val="00121E3A"/>
    <w:rsid w:val="001244CE"/>
    <w:rsid w:val="00124636"/>
    <w:rsid w:val="0012592D"/>
    <w:rsid w:val="00126D75"/>
    <w:rsid w:val="00132D06"/>
    <w:rsid w:val="00137F66"/>
    <w:rsid w:val="001463C7"/>
    <w:rsid w:val="00147E24"/>
    <w:rsid w:val="00150D31"/>
    <w:rsid w:val="00156591"/>
    <w:rsid w:val="001570D4"/>
    <w:rsid w:val="00160309"/>
    <w:rsid w:val="0016109E"/>
    <w:rsid w:val="00161848"/>
    <w:rsid w:val="001656F9"/>
    <w:rsid w:val="00170306"/>
    <w:rsid w:val="001731C5"/>
    <w:rsid w:val="00173C44"/>
    <w:rsid w:val="00175732"/>
    <w:rsid w:val="001760B4"/>
    <w:rsid w:val="0017626A"/>
    <w:rsid w:val="0017626E"/>
    <w:rsid w:val="00185341"/>
    <w:rsid w:val="001903D4"/>
    <w:rsid w:val="00192DB5"/>
    <w:rsid w:val="001A1AC6"/>
    <w:rsid w:val="001A3EDD"/>
    <w:rsid w:val="001A67C9"/>
    <w:rsid w:val="001B1921"/>
    <w:rsid w:val="001C785F"/>
    <w:rsid w:val="001D279A"/>
    <w:rsid w:val="001D4EC2"/>
    <w:rsid w:val="001D6723"/>
    <w:rsid w:val="001D6E2A"/>
    <w:rsid w:val="001D6E3A"/>
    <w:rsid w:val="001E1433"/>
    <w:rsid w:val="001E1F5E"/>
    <w:rsid w:val="001E638A"/>
    <w:rsid w:val="001F120D"/>
    <w:rsid w:val="001F4F3E"/>
    <w:rsid w:val="001F5488"/>
    <w:rsid w:val="001F7EC5"/>
    <w:rsid w:val="002007BF"/>
    <w:rsid w:val="00204B7C"/>
    <w:rsid w:val="0021585F"/>
    <w:rsid w:val="00215DD8"/>
    <w:rsid w:val="0021694B"/>
    <w:rsid w:val="00221D29"/>
    <w:rsid w:val="002244DA"/>
    <w:rsid w:val="00227E29"/>
    <w:rsid w:val="00234DAB"/>
    <w:rsid w:val="002468F0"/>
    <w:rsid w:val="00250900"/>
    <w:rsid w:val="0025638D"/>
    <w:rsid w:val="00256DCC"/>
    <w:rsid w:val="002602DD"/>
    <w:rsid w:val="0026242C"/>
    <w:rsid w:val="00270410"/>
    <w:rsid w:val="00273270"/>
    <w:rsid w:val="0027715D"/>
    <w:rsid w:val="00282F7E"/>
    <w:rsid w:val="0028372E"/>
    <w:rsid w:val="002840DC"/>
    <w:rsid w:val="00284A6C"/>
    <w:rsid w:val="00291471"/>
    <w:rsid w:val="00294605"/>
    <w:rsid w:val="002A1054"/>
    <w:rsid w:val="002A1B80"/>
    <w:rsid w:val="002A4827"/>
    <w:rsid w:val="002A6E20"/>
    <w:rsid w:val="002A7F5E"/>
    <w:rsid w:val="002B64B0"/>
    <w:rsid w:val="002C02A7"/>
    <w:rsid w:val="002C221F"/>
    <w:rsid w:val="002C29D9"/>
    <w:rsid w:val="002C72A6"/>
    <w:rsid w:val="002D2487"/>
    <w:rsid w:val="002D4C2A"/>
    <w:rsid w:val="002E03C8"/>
    <w:rsid w:val="002E0E57"/>
    <w:rsid w:val="002E1B37"/>
    <w:rsid w:val="002E27F7"/>
    <w:rsid w:val="002E37D4"/>
    <w:rsid w:val="002E42CD"/>
    <w:rsid w:val="002E56B3"/>
    <w:rsid w:val="002E7263"/>
    <w:rsid w:val="002F60B7"/>
    <w:rsid w:val="002F6EC6"/>
    <w:rsid w:val="003009D5"/>
    <w:rsid w:val="00300A5F"/>
    <w:rsid w:val="00307662"/>
    <w:rsid w:val="00312339"/>
    <w:rsid w:val="00314C38"/>
    <w:rsid w:val="00320476"/>
    <w:rsid w:val="00321CBF"/>
    <w:rsid w:val="00334AE3"/>
    <w:rsid w:val="00334C59"/>
    <w:rsid w:val="00341768"/>
    <w:rsid w:val="0034466B"/>
    <w:rsid w:val="00345132"/>
    <w:rsid w:val="00345133"/>
    <w:rsid w:val="00345EF2"/>
    <w:rsid w:val="003557CA"/>
    <w:rsid w:val="00355DE5"/>
    <w:rsid w:val="00361079"/>
    <w:rsid w:val="00381D8F"/>
    <w:rsid w:val="00385B36"/>
    <w:rsid w:val="003909BF"/>
    <w:rsid w:val="00390F8A"/>
    <w:rsid w:val="0039137F"/>
    <w:rsid w:val="00395FAE"/>
    <w:rsid w:val="003A728E"/>
    <w:rsid w:val="003B1C66"/>
    <w:rsid w:val="003B4308"/>
    <w:rsid w:val="003B5148"/>
    <w:rsid w:val="003D06E5"/>
    <w:rsid w:val="003D4401"/>
    <w:rsid w:val="003D456F"/>
    <w:rsid w:val="003D4B93"/>
    <w:rsid w:val="003D64B6"/>
    <w:rsid w:val="003E1065"/>
    <w:rsid w:val="003E65C4"/>
    <w:rsid w:val="003F1853"/>
    <w:rsid w:val="003F3E0C"/>
    <w:rsid w:val="003F40EC"/>
    <w:rsid w:val="003F5D1B"/>
    <w:rsid w:val="003F7255"/>
    <w:rsid w:val="00403B9D"/>
    <w:rsid w:val="00407BFC"/>
    <w:rsid w:val="004101B0"/>
    <w:rsid w:val="00410D0B"/>
    <w:rsid w:val="00417B67"/>
    <w:rsid w:val="0042140A"/>
    <w:rsid w:val="00432B29"/>
    <w:rsid w:val="00432FD1"/>
    <w:rsid w:val="004358AD"/>
    <w:rsid w:val="00435AA8"/>
    <w:rsid w:val="00443C88"/>
    <w:rsid w:val="00445219"/>
    <w:rsid w:val="0044543D"/>
    <w:rsid w:val="004464E9"/>
    <w:rsid w:val="00452A22"/>
    <w:rsid w:val="00454A00"/>
    <w:rsid w:val="00456B89"/>
    <w:rsid w:val="00461398"/>
    <w:rsid w:val="00461B41"/>
    <w:rsid w:val="00462EA0"/>
    <w:rsid w:val="00472FA9"/>
    <w:rsid w:val="00474091"/>
    <w:rsid w:val="00476030"/>
    <w:rsid w:val="0048021C"/>
    <w:rsid w:val="00480AC6"/>
    <w:rsid w:val="00481750"/>
    <w:rsid w:val="0048181A"/>
    <w:rsid w:val="00483895"/>
    <w:rsid w:val="0049398C"/>
    <w:rsid w:val="00493E54"/>
    <w:rsid w:val="00497322"/>
    <w:rsid w:val="004A704F"/>
    <w:rsid w:val="004A7B14"/>
    <w:rsid w:val="004B4B6D"/>
    <w:rsid w:val="004C1B27"/>
    <w:rsid w:val="004C4526"/>
    <w:rsid w:val="004D028C"/>
    <w:rsid w:val="004D144D"/>
    <w:rsid w:val="004D1CDD"/>
    <w:rsid w:val="004D2202"/>
    <w:rsid w:val="004D2E8C"/>
    <w:rsid w:val="004D3773"/>
    <w:rsid w:val="004E2A00"/>
    <w:rsid w:val="004E3BF5"/>
    <w:rsid w:val="004F316D"/>
    <w:rsid w:val="004F4AD7"/>
    <w:rsid w:val="004F56BC"/>
    <w:rsid w:val="004F791E"/>
    <w:rsid w:val="00503BA7"/>
    <w:rsid w:val="00505676"/>
    <w:rsid w:val="00513B39"/>
    <w:rsid w:val="00515B97"/>
    <w:rsid w:val="00517346"/>
    <w:rsid w:val="0052071E"/>
    <w:rsid w:val="00521230"/>
    <w:rsid w:val="00530DBE"/>
    <w:rsid w:val="00534F0F"/>
    <w:rsid w:val="0053616B"/>
    <w:rsid w:val="00540F6E"/>
    <w:rsid w:val="00542388"/>
    <w:rsid w:val="00542B48"/>
    <w:rsid w:val="0054329E"/>
    <w:rsid w:val="0055059A"/>
    <w:rsid w:val="00550A22"/>
    <w:rsid w:val="00551258"/>
    <w:rsid w:val="00554692"/>
    <w:rsid w:val="00556006"/>
    <w:rsid w:val="005569D2"/>
    <w:rsid w:val="005708F7"/>
    <w:rsid w:val="00573F4C"/>
    <w:rsid w:val="00574BC3"/>
    <w:rsid w:val="0057625C"/>
    <w:rsid w:val="0058226E"/>
    <w:rsid w:val="00584FA9"/>
    <w:rsid w:val="00585EF4"/>
    <w:rsid w:val="00585FAF"/>
    <w:rsid w:val="00586D80"/>
    <w:rsid w:val="00586E7E"/>
    <w:rsid w:val="00587878"/>
    <w:rsid w:val="005909CE"/>
    <w:rsid w:val="00595858"/>
    <w:rsid w:val="005A1415"/>
    <w:rsid w:val="005A1E12"/>
    <w:rsid w:val="005A5CAA"/>
    <w:rsid w:val="005B02F9"/>
    <w:rsid w:val="005B0E49"/>
    <w:rsid w:val="005B1F16"/>
    <w:rsid w:val="005B71B9"/>
    <w:rsid w:val="005C06AF"/>
    <w:rsid w:val="005C20F7"/>
    <w:rsid w:val="005C2ABD"/>
    <w:rsid w:val="005C38A7"/>
    <w:rsid w:val="005D1AEC"/>
    <w:rsid w:val="005D1F10"/>
    <w:rsid w:val="005D2DCB"/>
    <w:rsid w:val="005E2590"/>
    <w:rsid w:val="005E2793"/>
    <w:rsid w:val="005E37DE"/>
    <w:rsid w:val="005F16EC"/>
    <w:rsid w:val="005F5B76"/>
    <w:rsid w:val="005F60A5"/>
    <w:rsid w:val="006001DA"/>
    <w:rsid w:val="00603D1A"/>
    <w:rsid w:val="00606BE4"/>
    <w:rsid w:val="00615983"/>
    <w:rsid w:val="00616192"/>
    <w:rsid w:val="00627B69"/>
    <w:rsid w:val="00635ECA"/>
    <w:rsid w:val="0065186F"/>
    <w:rsid w:val="006544CC"/>
    <w:rsid w:val="00655F61"/>
    <w:rsid w:val="00661450"/>
    <w:rsid w:val="00661B63"/>
    <w:rsid w:val="0067031F"/>
    <w:rsid w:val="00670CCF"/>
    <w:rsid w:val="006771C9"/>
    <w:rsid w:val="006838DA"/>
    <w:rsid w:val="00686A3F"/>
    <w:rsid w:val="0069299B"/>
    <w:rsid w:val="006A4ACD"/>
    <w:rsid w:val="006A4C2F"/>
    <w:rsid w:val="006A5D76"/>
    <w:rsid w:val="006B1256"/>
    <w:rsid w:val="006B62E5"/>
    <w:rsid w:val="006B636A"/>
    <w:rsid w:val="006C345D"/>
    <w:rsid w:val="006C5AA4"/>
    <w:rsid w:val="006D12EF"/>
    <w:rsid w:val="006D6598"/>
    <w:rsid w:val="006D6A87"/>
    <w:rsid w:val="006D6D47"/>
    <w:rsid w:val="006E1A8C"/>
    <w:rsid w:val="006E5AD6"/>
    <w:rsid w:val="006E6826"/>
    <w:rsid w:val="006F4CC6"/>
    <w:rsid w:val="006F7E94"/>
    <w:rsid w:val="00702BBB"/>
    <w:rsid w:val="00710726"/>
    <w:rsid w:val="00714C6D"/>
    <w:rsid w:val="00717570"/>
    <w:rsid w:val="00717CC3"/>
    <w:rsid w:val="007300A3"/>
    <w:rsid w:val="007306B8"/>
    <w:rsid w:val="007306F0"/>
    <w:rsid w:val="00731236"/>
    <w:rsid w:val="00747E37"/>
    <w:rsid w:val="0075299B"/>
    <w:rsid w:val="007536EF"/>
    <w:rsid w:val="00760802"/>
    <w:rsid w:val="00760CB0"/>
    <w:rsid w:val="007633C1"/>
    <w:rsid w:val="00765BEA"/>
    <w:rsid w:val="007738FD"/>
    <w:rsid w:val="00773A5D"/>
    <w:rsid w:val="00776448"/>
    <w:rsid w:val="00776D95"/>
    <w:rsid w:val="00780C71"/>
    <w:rsid w:val="00793250"/>
    <w:rsid w:val="0079370B"/>
    <w:rsid w:val="007A0141"/>
    <w:rsid w:val="007A116D"/>
    <w:rsid w:val="007A29EE"/>
    <w:rsid w:val="007B0654"/>
    <w:rsid w:val="007B10D0"/>
    <w:rsid w:val="007B5B52"/>
    <w:rsid w:val="007B680F"/>
    <w:rsid w:val="007B6989"/>
    <w:rsid w:val="007B77F4"/>
    <w:rsid w:val="007C3589"/>
    <w:rsid w:val="007C3944"/>
    <w:rsid w:val="007C456E"/>
    <w:rsid w:val="007C4C5A"/>
    <w:rsid w:val="007E04C2"/>
    <w:rsid w:val="007E2892"/>
    <w:rsid w:val="007E3A32"/>
    <w:rsid w:val="007E4448"/>
    <w:rsid w:val="007E5159"/>
    <w:rsid w:val="007F098A"/>
    <w:rsid w:val="007F7F83"/>
    <w:rsid w:val="00800174"/>
    <w:rsid w:val="008001C1"/>
    <w:rsid w:val="00800DC9"/>
    <w:rsid w:val="0080270D"/>
    <w:rsid w:val="00803663"/>
    <w:rsid w:val="0081539D"/>
    <w:rsid w:val="008160D1"/>
    <w:rsid w:val="00821C74"/>
    <w:rsid w:val="0082390D"/>
    <w:rsid w:val="00826495"/>
    <w:rsid w:val="00827AB4"/>
    <w:rsid w:val="00830117"/>
    <w:rsid w:val="00834E31"/>
    <w:rsid w:val="00835269"/>
    <w:rsid w:val="00840BD2"/>
    <w:rsid w:val="00843E6D"/>
    <w:rsid w:val="00845418"/>
    <w:rsid w:val="00851F7D"/>
    <w:rsid w:val="008535D2"/>
    <w:rsid w:val="008573C5"/>
    <w:rsid w:val="008619A1"/>
    <w:rsid w:val="00861D87"/>
    <w:rsid w:val="0086246D"/>
    <w:rsid w:val="008626EE"/>
    <w:rsid w:val="00862904"/>
    <w:rsid w:val="00864809"/>
    <w:rsid w:val="008660CD"/>
    <w:rsid w:val="00870C76"/>
    <w:rsid w:val="0087299F"/>
    <w:rsid w:val="00877429"/>
    <w:rsid w:val="008858B1"/>
    <w:rsid w:val="00887FD2"/>
    <w:rsid w:val="00895657"/>
    <w:rsid w:val="008966C9"/>
    <w:rsid w:val="00897A59"/>
    <w:rsid w:val="008A2A50"/>
    <w:rsid w:val="008A2BCA"/>
    <w:rsid w:val="008A4BAB"/>
    <w:rsid w:val="008A73DE"/>
    <w:rsid w:val="008A778E"/>
    <w:rsid w:val="008C3B40"/>
    <w:rsid w:val="008C6281"/>
    <w:rsid w:val="008C67B4"/>
    <w:rsid w:val="008D19E0"/>
    <w:rsid w:val="008D79C4"/>
    <w:rsid w:val="008E05A2"/>
    <w:rsid w:val="008E07D8"/>
    <w:rsid w:val="008E0F02"/>
    <w:rsid w:val="008F141B"/>
    <w:rsid w:val="008F19C6"/>
    <w:rsid w:val="008F5E85"/>
    <w:rsid w:val="009013E7"/>
    <w:rsid w:val="009015EF"/>
    <w:rsid w:val="00901DB7"/>
    <w:rsid w:val="00903C93"/>
    <w:rsid w:val="00904499"/>
    <w:rsid w:val="00904AA6"/>
    <w:rsid w:val="00906B25"/>
    <w:rsid w:val="009074A2"/>
    <w:rsid w:val="00924E48"/>
    <w:rsid w:val="009313F0"/>
    <w:rsid w:val="009334B1"/>
    <w:rsid w:val="00933B5D"/>
    <w:rsid w:val="0093745B"/>
    <w:rsid w:val="00937D34"/>
    <w:rsid w:val="00941358"/>
    <w:rsid w:val="0095029E"/>
    <w:rsid w:val="00952975"/>
    <w:rsid w:val="00962308"/>
    <w:rsid w:val="009666EA"/>
    <w:rsid w:val="00970A22"/>
    <w:rsid w:val="00977BA6"/>
    <w:rsid w:val="00981AB2"/>
    <w:rsid w:val="009835B6"/>
    <w:rsid w:val="00990DF1"/>
    <w:rsid w:val="0099104D"/>
    <w:rsid w:val="00992D67"/>
    <w:rsid w:val="009A2102"/>
    <w:rsid w:val="009A245F"/>
    <w:rsid w:val="009A5B53"/>
    <w:rsid w:val="009A6905"/>
    <w:rsid w:val="009A780F"/>
    <w:rsid w:val="009B0766"/>
    <w:rsid w:val="009B2C76"/>
    <w:rsid w:val="009C1E60"/>
    <w:rsid w:val="009C2B05"/>
    <w:rsid w:val="009C44F2"/>
    <w:rsid w:val="009C62C2"/>
    <w:rsid w:val="009D2023"/>
    <w:rsid w:val="009D3960"/>
    <w:rsid w:val="009D602F"/>
    <w:rsid w:val="009D6C42"/>
    <w:rsid w:val="009D76F6"/>
    <w:rsid w:val="009E25F3"/>
    <w:rsid w:val="009E33FD"/>
    <w:rsid w:val="009F2D5E"/>
    <w:rsid w:val="009F5958"/>
    <w:rsid w:val="00A02169"/>
    <w:rsid w:val="00A0339B"/>
    <w:rsid w:val="00A044A5"/>
    <w:rsid w:val="00A062B5"/>
    <w:rsid w:val="00A06A12"/>
    <w:rsid w:val="00A140A1"/>
    <w:rsid w:val="00A20E99"/>
    <w:rsid w:val="00A21B17"/>
    <w:rsid w:val="00A22E72"/>
    <w:rsid w:val="00A2643D"/>
    <w:rsid w:val="00A4003C"/>
    <w:rsid w:val="00A4492E"/>
    <w:rsid w:val="00A44F72"/>
    <w:rsid w:val="00A47E41"/>
    <w:rsid w:val="00A60435"/>
    <w:rsid w:val="00A62BFF"/>
    <w:rsid w:val="00A63925"/>
    <w:rsid w:val="00A63EC2"/>
    <w:rsid w:val="00A70DDB"/>
    <w:rsid w:val="00A777FA"/>
    <w:rsid w:val="00A839D1"/>
    <w:rsid w:val="00A85F9C"/>
    <w:rsid w:val="00A9628A"/>
    <w:rsid w:val="00AA246F"/>
    <w:rsid w:val="00AA2866"/>
    <w:rsid w:val="00AA2A90"/>
    <w:rsid w:val="00AA58AA"/>
    <w:rsid w:val="00AA664D"/>
    <w:rsid w:val="00AA7E9C"/>
    <w:rsid w:val="00AB12C6"/>
    <w:rsid w:val="00AB44AD"/>
    <w:rsid w:val="00AB751F"/>
    <w:rsid w:val="00AB7990"/>
    <w:rsid w:val="00AC05F9"/>
    <w:rsid w:val="00AC0D38"/>
    <w:rsid w:val="00AC3BE8"/>
    <w:rsid w:val="00AC4FE7"/>
    <w:rsid w:val="00AC56AA"/>
    <w:rsid w:val="00AD03F1"/>
    <w:rsid w:val="00AD3B70"/>
    <w:rsid w:val="00AF0BB1"/>
    <w:rsid w:val="00AF201C"/>
    <w:rsid w:val="00AF3DFF"/>
    <w:rsid w:val="00AF400D"/>
    <w:rsid w:val="00AF45A0"/>
    <w:rsid w:val="00B04FC9"/>
    <w:rsid w:val="00B05C98"/>
    <w:rsid w:val="00B12DBC"/>
    <w:rsid w:val="00B31C19"/>
    <w:rsid w:val="00B36DEC"/>
    <w:rsid w:val="00B37478"/>
    <w:rsid w:val="00B4280B"/>
    <w:rsid w:val="00B47406"/>
    <w:rsid w:val="00B51F54"/>
    <w:rsid w:val="00B52876"/>
    <w:rsid w:val="00B54094"/>
    <w:rsid w:val="00B54653"/>
    <w:rsid w:val="00B600D7"/>
    <w:rsid w:val="00B709BB"/>
    <w:rsid w:val="00B70F8B"/>
    <w:rsid w:val="00B74502"/>
    <w:rsid w:val="00B748D8"/>
    <w:rsid w:val="00B76E0D"/>
    <w:rsid w:val="00B76EB7"/>
    <w:rsid w:val="00BA1185"/>
    <w:rsid w:val="00BA1C79"/>
    <w:rsid w:val="00BA4748"/>
    <w:rsid w:val="00BA4B7B"/>
    <w:rsid w:val="00BA5603"/>
    <w:rsid w:val="00BB1214"/>
    <w:rsid w:val="00BC3C53"/>
    <w:rsid w:val="00BC4851"/>
    <w:rsid w:val="00BC66A0"/>
    <w:rsid w:val="00BC6CD4"/>
    <w:rsid w:val="00BC7BC3"/>
    <w:rsid w:val="00BD0960"/>
    <w:rsid w:val="00BD3F6A"/>
    <w:rsid w:val="00BE40B8"/>
    <w:rsid w:val="00BF185F"/>
    <w:rsid w:val="00BF68D8"/>
    <w:rsid w:val="00BF7E9A"/>
    <w:rsid w:val="00C00D7C"/>
    <w:rsid w:val="00C0231B"/>
    <w:rsid w:val="00C1059B"/>
    <w:rsid w:val="00C10771"/>
    <w:rsid w:val="00C1217C"/>
    <w:rsid w:val="00C13466"/>
    <w:rsid w:val="00C134F4"/>
    <w:rsid w:val="00C14E6E"/>
    <w:rsid w:val="00C150B4"/>
    <w:rsid w:val="00C15A8F"/>
    <w:rsid w:val="00C25659"/>
    <w:rsid w:val="00C3671A"/>
    <w:rsid w:val="00C443C5"/>
    <w:rsid w:val="00C46925"/>
    <w:rsid w:val="00C53775"/>
    <w:rsid w:val="00C53F59"/>
    <w:rsid w:val="00C54C9C"/>
    <w:rsid w:val="00C55656"/>
    <w:rsid w:val="00C558CC"/>
    <w:rsid w:val="00C55FAC"/>
    <w:rsid w:val="00C63986"/>
    <w:rsid w:val="00C70515"/>
    <w:rsid w:val="00C70E24"/>
    <w:rsid w:val="00C84EDE"/>
    <w:rsid w:val="00C85E5E"/>
    <w:rsid w:val="00C86F1B"/>
    <w:rsid w:val="00C93767"/>
    <w:rsid w:val="00C95930"/>
    <w:rsid w:val="00C96E7C"/>
    <w:rsid w:val="00C97A65"/>
    <w:rsid w:val="00C97EC2"/>
    <w:rsid w:val="00CA1A4C"/>
    <w:rsid w:val="00CA3A76"/>
    <w:rsid w:val="00CA5765"/>
    <w:rsid w:val="00CB1D42"/>
    <w:rsid w:val="00CB539F"/>
    <w:rsid w:val="00CB6600"/>
    <w:rsid w:val="00CB7762"/>
    <w:rsid w:val="00CC30E1"/>
    <w:rsid w:val="00CD060E"/>
    <w:rsid w:val="00CD2C61"/>
    <w:rsid w:val="00CD3768"/>
    <w:rsid w:val="00CD5D9B"/>
    <w:rsid w:val="00CD756F"/>
    <w:rsid w:val="00CE5142"/>
    <w:rsid w:val="00CF026F"/>
    <w:rsid w:val="00CF2ED6"/>
    <w:rsid w:val="00CF5891"/>
    <w:rsid w:val="00D016D5"/>
    <w:rsid w:val="00D07BFE"/>
    <w:rsid w:val="00D10242"/>
    <w:rsid w:val="00D10CC1"/>
    <w:rsid w:val="00D11776"/>
    <w:rsid w:val="00D11C98"/>
    <w:rsid w:val="00D13E9D"/>
    <w:rsid w:val="00D148F7"/>
    <w:rsid w:val="00D16B13"/>
    <w:rsid w:val="00D17C35"/>
    <w:rsid w:val="00D20046"/>
    <w:rsid w:val="00D23F94"/>
    <w:rsid w:val="00D30EAF"/>
    <w:rsid w:val="00D335E8"/>
    <w:rsid w:val="00D34759"/>
    <w:rsid w:val="00D41370"/>
    <w:rsid w:val="00D5034C"/>
    <w:rsid w:val="00D505FA"/>
    <w:rsid w:val="00D50A14"/>
    <w:rsid w:val="00D532E1"/>
    <w:rsid w:val="00D65877"/>
    <w:rsid w:val="00D65F8D"/>
    <w:rsid w:val="00D71A37"/>
    <w:rsid w:val="00D816AA"/>
    <w:rsid w:val="00D83BDC"/>
    <w:rsid w:val="00D92EF6"/>
    <w:rsid w:val="00D96A6E"/>
    <w:rsid w:val="00DA0E7B"/>
    <w:rsid w:val="00DA56FF"/>
    <w:rsid w:val="00DA58E4"/>
    <w:rsid w:val="00DB0E66"/>
    <w:rsid w:val="00DB154A"/>
    <w:rsid w:val="00DB4F16"/>
    <w:rsid w:val="00DB7070"/>
    <w:rsid w:val="00DC2653"/>
    <w:rsid w:val="00DC3BBC"/>
    <w:rsid w:val="00DC6996"/>
    <w:rsid w:val="00DD426E"/>
    <w:rsid w:val="00DD600D"/>
    <w:rsid w:val="00DD6E72"/>
    <w:rsid w:val="00DE28AD"/>
    <w:rsid w:val="00DE2FA0"/>
    <w:rsid w:val="00DE4D59"/>
    <w:rsid w:val="00DE6465"/>
    <w:rsid w:val="00DE6711"/>
    <w:rsid w:val="00DF2712"/>
    <w:rsid w:val="00DF40DF"/>
    <w:rsid w:val="00DF585F"/>
    <w:rsid w:val="00DF70DC"/>
    <w:rsid w:val="00DF7117"/>
    <w:rsid w:val="00DF756F"/>
    <w:rsid w:val="00E00787"/>
    <w:rsid w:val="00E05508"/>
    <w:rsid w:val="00E06D8E"/>
    <w:rsid w:val="00E1428C"/>
    <w:rsid w:val="00E303F4"/>
    <w:rsid w:val="00E32B08"/>
    <w:rsid w:val="00E35707"/>
    <w:rsid w:val="00E37623"/>
    <w:rsid w:val="00E40A8D"/>
    <w:rsid w:val="00E5069C"/>
    <w:rsid w:val="00E5334D"/>
    <w:rsid w:val="00E54E8B"/>
    <w:rsid w:val="00E56D09"/>
    <w:rsid w:val="00E60777"/>
    <w:rsid w:val="00E61021"/>
    <w:rsid w:val="00E64C57"/>
    <w:rsid w:val="00E71CF3"/>
    <w:rsid w:val="00E74F32"/>
    <w:rsid w:val="00E7605B"/>
    <w:rsid w:val="00E76074"/>
    <w:rsid w:val="00E808C4"/>
    <w:rsid w:val="00E86621"/>
    <w:rsid w:val="00E87D66"/>
    <w:rsid w:val="00E936CA"/>
    <w:rsid w:val="00E93AC5"/>
    <w:rsid w:val="00E9459D"/>
    <w:rsid w:val="00E95742"/>
    <w:rsid w:val="00EA6299"/>
    <w:rsid w:val="00EB1DC5"/>
    <w:rsid w:val="00EB340B"/>
    <w:rsid w:val="00EB58F0"/>
    <w:rsid w:val="00EB5C12"/>
    <w:rsid w:val="00EC3302"/>
    <w:rsid w:val="00EC4DA7"/>
    <w:rsid w:val="00ED2D7F"/>
    <w:rsid w:val="00ED4D9C"/>
    <w:rsid w:val="00EE0BE9"/>
    <w:rsid w:val="00EE2198"/>
    <w:rsid w:val="00EE3A0B"/>
    <w:rsid w:val="00EE3B79"/>
    <w:rsid w:val="00EE3E92"/>
    <w:rsid w:val="00EE5ADB"/>
    <w:rsid w:val="00EE7C72"/>
    <w:rsid w:val="00EE7DA5"/>
    <w:rsid w:val="00EF0F24"/>
    <w:rsid w:val="00EF32E8"/>
    <w:rsid w:val="00EF765A"/>
    <w:rsid w:val="00F11E42"/>
    <w:rsid w:val="00F24DD9"/>
    <w:rsid w:val="00F2528C"/>
    <w:rsid w:val="00F2562E"/>
    <w:rsid w:val="00F348A6"/>
    <w:rsid w:val="00F371CC"/>
    <w:rsid w:val="00F4414C"/>
    <w:rsid w:val="00F473B3"/>
    <w:rsid w:val="00F549CF"/>
    <w:rsid w:val="00F57CCA"/>
    <w:rsid w:val="00F57CFA"/>
    <w:rsid w:val="00F63670"/>
    <w:rsid w:val="00F63E31"/>
    <w:rsid w:val="00F65276"/>
    <w:rsid w:val="00F721D0"/>
    <w:rsid w:val="00F742B5"/>
    <w:rsid w:val="00F82C93"/>
    <w:rsid w:val="00F85B6C"/>
    <w:rsid w:val="00F864B4"/>
    <w:rsid w:val="00F867BD"/>
    <w:rsid w:val="00F86F3F"/>
    <w:rsid w:val="00F87BA6"/>
    <w:rsid w:val="00F9152C"/>
    <w:rsid w:val="00F9388E"/>
    <w:rsid w:val="00F94A0B"/>
    <w:rsid w:val="00F9507F"/>
    <w:rsid w:val="00F957A1"/>
    <w:rsid w:val="00F97892"/>
    <w:rsid w:val="00FA335C"/>
    <w:rsid w:val="00FB157B"/>
    <w:rsid w:val="00FC3D8D"/>
    <w:rsid w:val="00FD0A4D"/>
    <w:rsid w:val="00FE1227"/>
    <w:rsid w:val="00FE1296"/>
    <w:rsid w:val="00FE4859"/>
    <w:rsid w:val="00FE4936"/>
    <w:rsid w:val="00FF1310"/>
    <w:rsid w:val="00FF2E03"/>
    <w:rsid w:val="00FF3F0A"/>
    <w:rsid w:val="00FF7076"/>
    <w:rsid w:val="012873D3"/>
    <w:rsid w:val="012E73B2"/>
    <w:rsid w:val="01E52967"/>
    <w:rsid w:val="02F30FA1"/>
    <w:rsid w:val="031D1E03"/>
    <w:rsid w:val="058368B9"/>
    <w:rsid w:val="05D073EF"/>
    <w:rsid w:val="06F91383"/>
    <w:rsid w:val="08B84E6C"/>
    <w:rsid w:val="08F33A4C"/>
    <w:rsid w:val="09694699"/>
    <w:rsid w:val="09E8138B"/>
    <w:rsid w:val="0A0D6D90"/>
    <w:rsid w:val="0A580E47"/>
    <w:rsid w:val="0D57008A"/>
    <w:rsid w:val="0DA56F93"/>
    <w:rsid w:val="0E7E1C83"/>
    <w:rsid w:val="100D394F"/>
    <w:rsid w:val="10954237"/>
    <w:rsid w:val="12FA67BA"/>
    <w:rsid w:val="13E863BE"/>
    <w:rsid w:val="142011A6"/>
    <w:rsid w:val="16277A0B"/>
    <w:rsid w:val="16852D6C"/>
    <w:rsid w:val="17B24919"/>
    <w:rsid w:val="17B4163D"/>
    <w:rsid w:val="18AF29F3"/>
    <w:rsid w:val="18DC2684"/>
    <w:rsid w:val="19526AA4"/>
    <w:rsid w:val="19E6489E"/>
    <w:rsid w:val="1B997078"/>
    <w:rsid w:val="1DC93EC1"/>
    <w:rsid w:val="1E097B16"/>
    <w:rsid w:val="20EE6FC1"/>
    <w:rsid w:val="20F3093F"/>
    <w:rsid w:val="210F0963"/>
    <w:rsid w:val="21327038"/>
    <w:rsid w:val="21606878"/>
    <w:rsid w:val="21B1590B"/>
    <w:rsid w:val="22027AEB"/>
    <w:rsid w:val="22B002C2"/>
    <w:rsid w:val="23A42D0F"/>
    <w:rsid w:val="24462A2D"/>
    <w:rsid w:val="24492D96"/>
    <w:rsid w:val="25934069"/>
    <w:rsid w:val="25E14869"/>
    <w:rsid w:val="263A6808"/>
    <w:rsid w:val="26626E0A"/>
    <w:rsid w:val="26B36D0C"/>
    <w:rsid w:val="26C70FC3"/>
    <w:rsid w:val="28094EEC"/>
    <w:rsid w:val="2A0A337B"/>
    <w:rsid w:val="2A121621"/>
    <w:rsid w:val="2A475123"/>
    <w:rsid w:val="2A4E3D69"/>
    <w:rsid w:val="2C102611"/>
    <w:rsid w:val="2C29369E"/>
    <w:rsid w:val="2C310D88"/>
    <w:rsid w:val="2DB12E44"/>
    <w:rsid w:val="2E4A46A0"/>
    <w:rsid w:val="2E7F2DE4"/>
    <w:rsid w:val="2ECA423F"/>
    <w:rsid w:val="2EF72DA2"/>
    <w:rsid w:val="2F3515C3"/>
    <w:rsid w:val="3048790D"/>
    <w:rsid w:val="308F6850"/>
    <w:rsid w:val="317407C0"/>
    <w:rsid w:val="33240E2C"/>
    <w:rsid w:val="33B224AA"/>
    <w:rsid w:val="33DC5004"/>
    <w:rsid w:val="340B4D67"/>
    <w:rsid w:val="34567C0B"/>
    <w:rsid w:val="34AA77FE"/>
    <w:rsid w:val="34BC0888"/>
    <w:rsid w:val="35075405"/>
    <w:rsid w:val="35607F99"/>
    <w:rsid w:val="357D6A85"/>
    <w:rsid w:val="36786503"/>
    <w:rsid w:val="36D93CDC"/>
    <w:rsid w:val="36DE53EE"/>
    <w:rsid w:val="375F2500"/>
    <w:rsid w:val="37A64147"/>
    <w:rsid w:val="38C80FA6"/>
    <w:rsid w:val="390D0154"/>
    <w:rsid w:val="39810D86"/>
    <w:rsid w:val="3989662F"/>
    <w:rsid w:val="398B7F95"/>
    <w:rsid w:val="39EB3B17"/>
    <w:rsid w:val="3A990BD3"/>
    <w:rsid w:val="3B1B6897"/>
    <w:rsid w:val="3BB30F9F"/>
    <w:rsid w:val="3BB367AF"/>
    <w:rsid w:val="3C024B7D"/>
    <w:rsid w:val="3C483E8B"/>
    <w:rsid w:val="3C7F4EBC"/>
    <w:rsid w:val="3DC104EE"/>
    <w:rsid w:val="3DE54D05"/>
    <w:rsid w:val="3E3B1050"/>
    <w:rsid w:val="3E725D4D"/>
    <w:rsid w:val="3EC527EE"/>
    <w:rsid w:val="3ECC506A"/>
    <w:rsid w:val="3F676452"/>
    <w:rsid w:val="3FC765FB"/>
    <w:rsid w:val="40E26775"/>
    <w:rsid w:val="41655958"/>
    <w:rsid w:val="427A0F23"/>
    <w:rsid w:val="435528D9"/>
    <w:rsid w:val="441962C2"/>
    <w:rsid w:val="449A44BA"/>
    <w:rsid w:val="44A82A87"/>
    <w:rsid w:val="44D71206"/>
    <w:rsid w:val="452A6C14"/>
    <w:rsid w:val="478A75C7"/>
    <w:rsid w:val="47AD5E14"/>
    <w:rsid w:val="48374FFD"/>
    <w:rsid w:val="487E1EBD"/>
    <w:rsid w:val="48893C42"/>
    <w:rsid w:val="48A905A4"/>
    <w:rsid w:val="48AE51DC"/>
    <w:rsid w:val="48D423D3"/>
    <w:rsid w:val="49602681"/>
    <w:rsid w:val="49EA2030"/>
    <w:rsid w:val="4A110E00"/>
    <w:rsid w:val="4A486D76"/>
    <w:rsid w:val="4AFA3073"/>
    <w:rsid w:val="4BED189E"/>
    <w:rsid w:val="4C46012D"/>
    <w:rsid w:val="4C722622"/>
    <w:rsid w:val="4D3A73C7"/>
    <w:rsid w:val="4D5817A3"/>
    <w:rsid w:val="4E2C62B8"/>
    <w:rsid w:val="4E2F2154"/>
    <w:rsid w:val="4EE942B4"/>
    <w:rsid w:val="4F083FA7"/>
    <w:rsid w:val="5125259E"/>
    <w:rsid w:val="51D326FC"/>
    <w:rsid w:val="52365E98"/>
    <w:rsid w:val="534C0810"/>
    <w:rsid w:val="53A62334"/>
    <w:rsid w:val="542230A6"/>
    <w:rsid w:val="549A34FA"/>
    <w:rsid w:val="5503270D"/>
    <w:rsid w:val="5605283E"/>
    <w:rsid w:val="56133180"/>
    <w:rsid w:val="56A667DF"/>
    <w:rsid w:val="56BF2449"/>
    <w:rsid w:val="573D3418"/>
    <w:rsid w:val="57FD3B20"/>
    <w:rsid w:val="58C67F65"/>
    <w:rsid w:val="597C1F53"/>
    <w:rsid w:val="599E0168"/>
    <w:rsid w:val="5A04210F"/>
    <w:rsid w:val="5A170196"/>
    <w:rsid w:val="5A4D6BA4"/>
    <w:rsid w:val="5A6E3F35"/>
    <w:rsid w:val="5ABE0F7F"/>
    <w:rsid w:val="5AF02F1E"/>
    <w:rsid w:val="5BEF76E9"/>
    <w:rsid w:val="5CC70097"/>
    <w:rsid w:val="5CE337FB"/>
    <w:rsid w:val="5E2372DE"/>
    <w:rsid w:val="5E323E79"/>
    <w:rsid w:val="5EA3771D"/>
    <w:rsid w:val="5F1662FE"/>
    <w:rsid w:val="60464B44"/>
    <w:rsid w:val="62C51C9B"/>
    <w:rsid w:val="6444068D"/>
    <w:rsid w:val="644E0886"/>
    <w:rsid w:val="64E65E69"/>
    <w:rsid w:val="64EE0BAF"/>
    <w:rsid w:val="64FA7388"/>
    <w:rsid w:val="661D43B7"/>
    <w:rsid w:val="66AB22D9"/>
    <w:rsid w:val="66D41533"/>
    <w:rsid w:val="66E62088"/>
    <w:rsid w:val="68226616"/>
    <w:rsid w:val="69005E96"/>
    <w:rsid w:val="6AFA5F10"/>
    <w:rsid w:val="6B266A01"/>
    <w:rsid w:val="6BCD4677"/>
    <w:rsid w:val="6C926886"/>
    <w:rsid w:val="6CDA7624"/>
    <w:rsid w:val="6CE81713"/>
    <w:rsid w:val="6D070BEB"/>
    <w:rsid w:val="6D0B6015"/>
    <w:rsid w:val="6D7B76B4"/>
    <w:rsid w:val="6DB175E8"/>
    <w:rsid w:val="6DB932C1"/>
    <w:rsid w:val="6E1F0847"/>
    <w:rsid w:val="6E3A43BC"/>
    <w:rsid w:val="6F1E05B4"/>
    <w:rsid w:val="709266BF"/>
    <w:rsid w:val="70DC21A8"/>
    <w:rsid w:val="71CC4E6E"/>
    <w:rsid w:val="73977E97"/>
    <w:rsid w:val="73A07A74"/>
    <w:rsid w:val="747D0FDF"/>
    <w:rsid w:val="74D344CE"/>
    <w:rsid w:val="74DD1DA7"/>
    <w:rsid w:val="764B35F1"/>
    <w:rsid w:val="7762677E"/>
    <w:rsid w:val="77A21F86"/>
    <w:rsid w:val="783D3758"/>
    <w:rsid w:val="788D4480"/>
    <w:rsid w:val="78A32008"/>
    <w:rsid w:val="78F93E52"/>
    <w:rsid w:val="7B4A6DD9"/>
    <w:rsid w:val="7B9F6688"/>
    <w:rsid w:val="7BAD6EB2"/>
    <w:rsid w:val="7D3A560F"/>
    <w:rsid w:val="7D3A5A48"/>
    <w:rsid w:val="7D3B4375"/>
    <w:rsid w:val="7E1F194A"/>
    <w:rsid w:val="7F060693"/>
    <w:rsid w:val="7FDF5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iPriority="99"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99" w:semiHidden="0" w:name="HTML Preformatted"/>
    <w:lsdException w:qFormat="1" w:uiPriority="99" w:semiHidden="0" w:name="HTML Sample"/>
    <w:lsdException w:qFormat="1" w:uiPriority="99" w:semiHidden="0"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4">
    <w:name w:val="heading 2"/>
    <w:basedOn w:val="1"/>
    <w:next w:val="5"/>
    <w:link w:val="33"/>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link w:val="35"/>
    <w:qFormat/>
    <w:uiPriority w:val="0"/>
    <w:pPr>
      <w:keepNext/>
      <w:keepLines/>
      <w:spacing w:before="260" w:after="260" w:line="416" w:lineRule="auto"/>
      <w:outlineLvl w:val="2"/>
    </w:pPr>
    <w:rPr>
      <w:b/>
      <w:bCs/>
      <w:sz w:val="32"/>
      <w:szCs w:val="32"/>
    </w:rPr>
  </w:style>
  <w:style w:type="paragraph" w:styleId="7">
    <w:name w:val="heading 4"/>
    <w:basedOn w:val="1"/>
    <w:next w:val="1"/>
    <w:link w:val="36"/>
    <w:qFormat/>
    <w:uiPriority w:val="0"/>
    <w:pPr>
      <w:keepNext/>
      <w:jc w:val="center"/>
      <w:outlineLvl w:val="3"/>
    </w:pPr>
    <w:rPr>
      <w:rFonts w:eastAsia="新宋体"/>
      <w:sz w:val="30"/>
      <w:szCs w:val="21"/>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正文1"/>
    <w:basedOn w:val="1"/>
    <w:qFormat/>
    <w:uiPriority w:val="0"/>
    <w:pPr>
      <w:spacing w:line="360" w:lineRule="auto"/>
      <w:ind w:firstLine="361"/>
    </w:pPr>
    <w:rPr>
      <w:rFonts w:ascii="宋体" w:hAnsi="宋体"/>
    </w:rPr>
  </w:style>
  <w:style w:type="paragraph" w:styleId="5">
    <w:name w:val="Normal Indent"/>
    <w:basedOn w:val="1"/>
    <w:link w:val="34"/>
    <w:qFormat/>
    <w:uiPriority w:val="0"/>
    <w:pPr>
      <w:ind w:firstLine="420"/>
    </w:pPr>
    <w:rPr>
      <w:szCs w:val="20"/>
    </w:rPr>
  </w:style>
  <w:style w:type="paragraph" w:styleId="8">
    <w:name w:val="Document Map"/>
    <w:basedOn w:val="1"/>
    <w:link w:val="37"/>
    <w:semiHidden/>
    <w:qFormat/>
    <w:uiPriority w:val="0"/>
    <w:pPr>
      <w:shd w:val="clear" w:color="auto" w:fill="000080"/>
    </w:pPr>
  </w:style>
  <w:style w:type="paragraph" w:styleId="9">
    <w:name w:val="Body Text Indent"/>
    <w:basedOn w:val="1"/>
    <w:link w:val="38"/>
    <w:qFormat/>
    <w:uiPriority w:val="0"/>
    <w:pPr>
      <w:spacing w:after="120"/>
      <w:ind w:left="420" w:leftChars="200"/>
    </w:pPr>
  </w:style>
  <w:style w:type="paragraph" w:styleId="10">
    <w:name w:val="Date"/>
    <w:basedOn w:val="1"/>
    <w:next w:val="1"/>
    <w:link w:val="39"/>
    <w:qFormat/>
    <w:uiPriority w:val="0"/>
    <w:pPr>
      <w:ind w:left="100" w:leftChars="2500"/>
    </w:pPr>
  </w:style>
  <w:style w:type="paragraph" w:styleId="11">
    <w:name w:val="Balloon Text"/>
    <w:basedOn w:val="1"/>
    <w:link w:val="40"/>
    <w:semiHidden/>
    <w:qFormat/>
    <w:uiPriority w:val="0"/>
    <w:rPr>
      <w:sz w:val="18"/>
      <w:szCs w:val="18"/>
    </w:rPr>
  </w:style>
  <w:style w:type="paragraph" w:styleId="12">
    <w:name w:val="footer"/>
    <w:basedOn w:val="1"/>
    <w:link w:val="41"/>
    <w:qFormat/>
    <w:uiPriority w:val="99"/>
    <w:pPr>
      <w:tabs>
        <w:tab w:val="center" w:pos="4153"/>
        <w:tab w:val="right" w:pos="8306"/>
      </w:tabs>
      <w:snapToGrid w:val="0"/>
      <w:jc w:val="left"/>
    </w:pPr>
    <w:rPr>
      <w:sz w:val="18"/>
      <w:szCs w:val="18"/>
    </w:rPr>
  </w:style>
  <w:style w:type="paragraph" w:styleId="13">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link w:val="43"/>
    <w:qFormat/>
    <w:uiPriority w:val="0"/>
    <w:pPr>
      <w:spacing w:line="520" w:lineRule="exact"/>
      <w:ind w:firstLine="539" w:firstLineChars="184"/>
    </w:pPr>
    <w:rPr>
      <w:rFonts w:ascii="宋体"/>
      <w:b/>
      <w:spacing w:val="6"/>
      <w:sz w:val="28"/>
    </w:rPr>
  </w:style>
  <w:style w:type="paragraph" w:styleId="15">
    <w:name w:val="HTML Preformatted"/>
    <w:basedOn w:val="1"/>
    <w:link w:val="44"/>
    <w:qFormat/>
    <w:uiPriority w:val="99"/>
    <w:pPr>
      <w:adjustRightInd w:val="0"/>
      <w:spacing w:line="360" w:lineRule="atLeast"/>
      <w:textAlignment w:val="baseline"/>
    </w:pPr>
    <w:rPr>
      <w:rFonts w:ascii="Courier New" w:hAnsi="Courier New"/>
      <w:kern w:val="0"/>
      <w:sz w:val="20"/>
      <w:szCs w:val="20"/>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22"/>
    <w:rPr>
      <w:b/>
      <w:bCs/>
    </w:rPr>
  </w:style>
  <w:style w:type="character" w:styleId="21">
    <w:name w:val="page number"/>
    <w:basedOn w:val="19"/>
    <w:qFormat/>
    <w:uiPriority w:val="0"/>
  </w:style>
  <w:style w:type="character" w:styleId="22">
    <w:name w:val="FollowedHyperlink"/>
    <w:unhideWhenUsed/>
    <w:qFormat/>
    <w:uiPriority w:val="99"/>
    <w:rPr>
      <w:color w:val="800080"/>
      <w:u w:val="none"/>
    </w:rPr>
  </w:style>
  <w:style w:type="character" w:styleId="23">
    <w:name w:val="HTML Definition"/>
    <w:unhideWhenUsed/>
    <w:qFormat/>
    <w:uiPriority w:val="99"/>
  </w:style>
  <w:style w:type="character" w:styleId="24">
    <w:name w:val="HTML Typewriter"/>
    <w:unhideWhenUsed/>
    <w:qFormat/>
    <w:uiPriority w:val="99"/>
    <w:rPr>
      <w:rFonts w:ascii="monospace" w:hAnsi="monospace" w:eastAsia="monospace" w:cs="monospace"/>
      <w:sz w:val="20"/>
    </w:rPr>
  </w:style>
  <w:style w:type="character" w:styleId="25">
    <w:name w:val="HTML Acronym"/>
    <w:basedOn w:val="19"/>
    <w:unhideWhenUsed/>
    <w:qFormat/>
    <w:uiPriority w:val="99"/>
  </w:style>
  <w:style w:type="character" w:styleId="26">
    <w:name w:val="HTML Variable"/>
    <w:unhideWhenUsed/>
    <w:qFormat/>
    <w:uiPriority w:val="99"/>
  </w:style>
  <w:style w:type="character" w:styleId="27">
    <w:name w:val="Hyperlink"/>
    <w:unhideWhenUsed/>
    <w:qFormat/>
    <w:uiPriority w:val="99"/>
    <w:rPr>
      <w:color w:val="0000FF"/>
      <w:u w:val="none"/>
    </w:rPr>
  </w:style>
  <w:style w:type="character" w:styleId="28">
    <w:name w:val="HTML Code"/>
    <w:unhideWhenUsed/>
    <w:qFormat/>
    <w:uiPriority w:val="99"/>
    <w:rPr>
      <w:rFonts w:hint="default" w:ascii="monospace" w:hAnsi="monospace" w:eastAsia="monospace" w:cs="monospace"/>
      <w:sz w:val="20"/>
    </w:rPr>
  </w:style>
  <w:style w:type="character" w:styleId="29">
    <w:name w:val="HTML Cite"/>
    <w:unhideWhenUsed/>
    <w:qFormat/>
    <w:uiPriority w:val="99"/>
  </w:style>
  <w:style w:type="character" w:styleId="30">
    <w:name w:val="HTML Keyboard"/>
    <w:unhideWhenUsed/>
    <w:qFormat/>
    <w:uiPriority w:val="99"/>
    <w:rPr>
      <w:rFonts w:hint="default" w:ascii="monospace" w:hAnsi="monospace" w:eastAsia="monospace" w:cs="monospace"/>
      <w:sz w:val="20"/>
    </w:rPr>
  </w:style>
  <w:style w:type="character" w:styleId="31">
    <w:name w:val="HTML Sample"/>
    <w:unhideWhenUsed/>
    <w:qFormat/>
    <w:uiPriority w:val="99"/>
    <w:rPr>
      <w:rFonts w:hint="default" w:ascii="monospace" w:hAnsi="monospace" w:eastAsia="monospace" w:cs="monospace"/>
    </w:rPr>
  </w:style>
  <w:style w:type="character" w:customStyle="1" w:styleId="32">
    <w:name w:val="标题 1 字符"/>
    <w:link w:val="3"/>
    <w:qFormat/>
    <w:uiPriority w:val="0"/>
    <w:rPr>
      <w:b/>
      <w:bCs/>
      <w:kern w:val="44"/>
      <w:sz w:val="44"/>
      <w:szCs w:val="44"/>
    </w:rPr>
  </w:style>
  <w:style w:type="character" w:customStyle="1" w:styleId="33">
    <w:name w:val="标题 2 字符"/>
    <w:link w:val="4"/>
    <w:qFormat/>
    <w:uiPriority w:val="0"/>
    <w:rPr>
      <w:rFonts w:ascii="Arial" w:hAnsi="Arial" w:eastAsia="黑体"/>
      <w:b/>
      <w:bCs/>
      <w:kern w:val="2"/>
      <w:sz w:val="32"/>
      <w:szCs w:val="32"/>
    </w:rPr>
  </w:style>
  <w:style w:type="character" w:customStyle="1" w:styleId="34">
    <w:name w:val="正文缩进 字符"/>
    <w:link w:val="5"/>
    <w:qFormat/>
    <w:uiPriority w:val="0"/>
    <w:rPr>
      <w:kern w:val="2"/>
      <w:sz w:val="21"/>
    </w:rPr>
  </w:style>
  <w:style w:type="character" w:customStyle="1" w:styleId="35">
    <w:name w:val="标题 3 字符"/>
    <w:link w:val="6"/>
    <w:qFormat/>
    <w:uiPriority w:val="0"/>
    <w:rPr>
      <w:b/>
      <w:bCs/>
      <w:kern w:val="2"/>
      <w:sz w:val="32"/>
      <w:szCs w:val="32"/>
    </w:rPr>
  </w:style>
  <w:style w:type="character" w:customStyle="1" w:styleId="36">
    <w:name w:val="标题 4 字符"/>
    <w:link w:val="7"/>
    <w:qFormat/>
    <w:uiPriority w:val="0"/>
    <w:rPr>
      <w:rFonts w:eastAsia="新宋体"/>
      <w:kern w:val="2"/>
      <w:sz w:val="30"/>
      <w:szCs w:val="21"/>
    </w:rPr>
  </w:style>
  <w:style w:type="character" w:customStyle="1" w:styleId="37">
    <w:name w:val="文档结构图 字符"/>
    <w:link w:val="8"/>
    <w:semiHidden/>
    <w:qFormat/>
    <w:uiPriority w:val="0"/>
    <w:rPr>
      <w:kern w:val="2"/>
      <w:sz w:val="21"/>
      <w:szCs w:val="24"/>
      <w:shd w:val="clear" w:color="auto" w:fill="000080"/>
    </w:rPr>
  </w:style>
  <w:style w:type="character" w:customStyle="1" w:styleId="38">
    <w:name w:val="正文文本缩进 字符"/>
    <w:link w:val="9"/>
    <w:qFormat/>
    <w:uiPriority w:val="0"/>
    <w:rPr>
      <w:kern w:val="2"/>
      <w:sz w:val="21"/>
      <w:szCs w:val="24"/>
    </w:rPr>
  </w:style>
  <w:style w:type="character" w:customStyle="1" w:styleId="39">
    <w:name w:val="日期 字符"/>
    <w:link w:val="10"/>
    <w:qFormat/>
    <w:uiPriority w:val="0"/>
    <w:rPr>
      <w:kern w:val="2"/>
      <w:sz w:val="21"/>
      <w:szCs w:val="24"/>
    </w:rPr>
  </w:style>
  <w:style w:type="character" w:customStyle="1" w:styleId="40">
    <w:name w:val="批注框文本 字符"/>
    <w:link w:val="11"/>
    <w:semiHidden/>
    <w:qFormat/>
    <w:uiPriority w:val="0"/>
    <w:rPr>
      <w:kern w:val="2"/>
      <w:sz w:val="18"/>
      <w:szCs w:val="18"/>
    </w:rPr>
  </w:style>
  <w:style w:type="character" w:customStyle="1" w:styleId="41">
    <w:name w:val="页脚 字符"/>
    <w:link w:val="12"/>
    <w:qFormat/>
    <w:uiPriority w:val="99"/>
    <w:rPr>
      <w:kern w:val="2"/>
      <w:sz w:val="18"/>
      <w:szCs w:val="18"/>
    </w:rPr>
  </w:style>
  <w:style w:type="character" w:customStyle="1" w:styleId="42">
    <w:name w:val="页眉 字符"/>
    <w:link w:val="13"/>
    <w:qFormat/>
    <w:uiPriority w:val="0"/>
    <w:rPr>
      <w:kern w:val="2"/>
      <w:sz w:val="18"/>
      <w:szCs w:val="18"/>
    </w:rPr>
  </w:style>
  <w:style w:type="character" w:customStyle="1" w:styleId="43">
    <w:name w:val="正文文本缩进 3 字符"/>
    <w:link w:val="14"/>
    <w:qFormat/>
    <w:uiPriority w:val="0"/>
    <w:rPr>
      <w:rFonts w:ascii="宋体"/>
      <w:b/>
      <w:spacing w:val="6"/>
      <w:kern w:val="2"/>
      <w:sz w:val="28"/>
      <w:szCs w:val="24"/>
    </w:rPr>
  </w:style>
  <w:style w:type="character" w:customStyle="1" w:styleId="44">
    <w:name w:val="HTML 预设格式 字符"/>
    <w:link w:val="15"/>
    <w:qFormat/>
    <w:uiPriority w:val="99"/>
    <w:rPr>
      <w:rFonts w:ascii="Courier New" w:hAnsi="Courier New"/>
    </w:rPr>
  </w:style>
  <w:style w:type="character" w:customStyle="1" w:styleId="45">
    <w:name w:val="普通正文 Char"/>
    <w:link w:val="46"/>
    <w:qFormat/>
    <w:uiPriority w:val="0"/>
    <w:rPr>
      <w:rFonts w:ascii="Arial" w:hAnsi="Arial"/>
      <w:sz w:val="24"/>
      <w:szCs w:val="24"/>
    </w:rPr>
  </w:style>
  <w:style w:type="paragraph" w:customStyle="1" w:styleId="46">
    <w:name w:val="普通正文"/>
    <w:basedOn w:val="1"/>
    <w:link w:val="45"/>
    <w:qFormat/>
    <w:uiPriority w:val="0"/>
    <w:pPr>
      <w:adjustRightInd w:val="0"/>
      <w:spacing w:before="120" w:after="120" w:line="360" w:lineRule="auto"/>
      <w:ind w:left="-2" w:right="120" w:firstLine="480"/>
      <w:jc w:val="center"/>
      <w:textAlignment w:val="baseline"/>
    </w:pPr>
    <w:rPr>
      <w:rFonts w:ascii="Arial" w:hAnsi="Arial"/>
      <w:kern w:val="0"/>
      <w:sz w:val="24"/>
    </w:rPr>
  </w:style>
  <w:style w:type="character" w:customStyle="1" w:styleId="47">
    <w:name w:val="正文缩进2格 Char"/>
    <w:link w:val="48"/>
    <w:qFormat/>
    <w:locked/>
    <w:uiPriority w:val="0"/>
    <w:rPr>
      <w:rFonts w:ascii="仿宋_GB2312" w:hAnsi="宋体" w:eastAsia="仿宋_GB2312"/>
      <w:kern w:val="2"/>
      <w:sz w:val="31"/>
      <w:szCs w:val="28"/>
    </w:rPr>
  </w:style>
  <w:style w:type="paragraph" w:customStyle="1" w:styleId="48">
    <w:name w:val="正文缩进2格"/>
    <w:basedOn w:val="1"/>
    <w:link w:val="47"/>
    <w:qFormat/>
    <w:uiPriority w:val="0"/>
    <w:pPr>
      <w:spacing w:line="600" w:lineRule="exact"/>
      <w:ind w:firstLine="639" w:firstLineChars="206"/>
    </w:pPr>
    <w:rPr>
      <w:rFonts w:ascii="仿宋_GB2312" w:hAnsi="宋体" w:eastAsia="仿宋_GB2312"/>
      <w:sz w:val="31"/>
      <w:szCs w:val="28"/>
    </w:rPr>
  </w:style>
  <w:style w:type="character" w:customStyle="1" w:styleId="49">
    <w:name w:val="标题 3.1 Char"/>
    <w:link w:val="50"/>
    <w:qFormat/>
    <w:locked/>
    <w:uiPriority w:val="0"/>
    <w:rPr>
      <w:rFonts w:ascii="宋体" w:hAnsi="宋体"/>
      <w:b/>
      <w:bCs/>
      <w:color w:val="000000"/>
      <w:kern w:val="2"/>
      <w:sz w:val="32"/>
      <w:szCs w:val="32"/>
    </w:rPr>
  </w:style>
  <w:style w:type="paragraph" w:customStyle="1" w:styleId="50">
    <w:name w:val="标题 3.1"/>
    <w:basedOn w:val="6"/>
    <w:link w:val="49"/>
    <w:qFormat/>
    <w:uiPriority w:val="0"/>
    <w:pPr>
      <w:tabs>
        <w:tab w:val="left" w:pos="1440"/>
        <w:tab w:val="left" w:pos="1620"/>
      </w:tabs>
      <w:spacing w:line="600" w:lineRule="exact"/>
    </w:pPr>
    <w:rPr>
      <w:rFonts w:ascii="宋体" w:hAnsi="宋体"/>
      <w:color w:val="000000"/>
    </w:rPr>
  </w:style>
  <w:style w:type="character" w:customStyle="1" w:styleId="51">
    <w:name w:val="hover1"/>
    <w:qFormat/>
    <w:uiPriority w:val="0"/>
    <w:rPr>
      <w:color w:val="5FB878"/>
    </w:rPr>
  </w:style>
  <w:style w:type="character" w:customStyle="1" w:styleId="52">
    <w:name w:val="hover2"/>
    <w:qFormat/>
    <w:uiPriority w:val="0"/>
    <w:rPr>
      <w:color w:val="FFFFFF"/>
    </w:rPr>
  </w:style>
  <w:style w:type="character" w:customStyle="1" w:styleId="53">
    <w:name w:val="hover"/>
    <w:qFormat/>
    <w:uiPriority w:val="0"/>
    <w:rPr>
      <w:color w:val="5FB878"/>
    </w:rPr>
  </w:style>
  <w:style w:type="paragraph" w:customStyle="1" w:styleId="54">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55">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56">
    <w:name w:val="para"/>
    <w:basedOn w:val="1"/>
    <w:qFormat/>
    <w:uiPriority w:val="0"/>
    <w:pPr>
      <w:widowControl/>
      <w:spacing w:before="100" w:beforeAutospacing="1" w:after="100" w:afterAutospacing="1"/>
      <w:jc w:val="left"/>
    </w:pPr>
    <w:rPr>
      <w:rFonts w:ascii="Arial" w:hAnsi="Arial" w:cs="Arial"/>
      <w:kern w:val="0"/>
      <w:sz w:val="18"/>
      <w:szCs w:val="18"/>
    </w:rPr>
  </w:style>
  <w:style w:type="paragraph" w:customStyle="1" w:styleId="57">
    <w:name w:val="Char Char Char Char"/>
    <w:basedOn w:val="1"/>
    <w:qFormat/>
    <w:uiPriority w:val="0"/>
    <w:rPr>
      <w:rFonts w:ascii="Tahoma" w:hAnsi="Tahoma"/>
      <w:sz w:val="24"/>
      <w:szCs w:val="20"/>
    </w:rPr>
  </w:style>
  <w:style w:type="paragraph" w:customStyle="1" w:styleId="58">
    <w:name w:val="Char1"/>
    <w:basedOn w:val="1"/>
    <w:qFormat/>
    <w:uiPriority w:val="0"/>
    <w:pPr>
      <w:tabs>
        <w:tab w:val="left" w:pos="840"/>
      </w:tabs>
      <w:ind w:left="840" w:hanging="420"/>
    </w:pPr>
    <w:rPr>
      <w:sz w:val="24"/>
    </w:rPr>
  </w:style>
  <w:style w:type="paragraph" w:customStyle="1" w:styleId="59">
    <w:name w:val="Char Char 字元 字元 字元 Char Char Char Char"/>
    <w:basedOn w:val="1"/>
    <w:qFormat/>
    <w:uiPriority w:val="0"/>
    <w:pPr>
      <w:adjustRightInd w:val="0"/>
      <w:spacing w:line="360" w:lineRule="auto"/>
    </w:pPr>
    <w:rPr>
      <w:kern w:val="0"/>
      <w:sz w:val="24"/>
      <w:szCs w:val="20"/>
    </w:rPr>
  </w:style>
  <w:style w:type="paragraph" w:customStyle="1" w:styleId="60">
    <w:name w:val="正文_1_0"/>
    <w:basedOn w:val="1"/>
    <w:qFormat/>
    <w:uiPriority w:val="0"/>
  </w:style>
  <w:style w:type="paragraph" w:customStyle="1" w:styleId="61">
    <w:name w:val="Char"/>
    <w:basedOn w:val="1"/>
    <w:qFormat/>
    <w:uiPriority w:val="0"/>
    <w:rPr>
      <w:rFonts w:ascii="Tahoma" w:hAnsi="Tahoma"/>
      <w:sz w:val="24"/>
      <w:szCs w:val="20"/>
    </w:rPr>
  </w:style>
  <w:style w:type="paragraph" w:customStyle="1" w:styleId="62">
    <w:name w:val="Char2"/>
    <w:basedOn w:val="1"/>
    <w:qFormat/>
    <w:uiPriority w:val="0"/>
    <w:rPr>
      <w:rFonts w:ascii="Tahoma" w:hAnsi="Tahoma"/>
      <w:sz w:val="24"/>
      <w:szCs w:val="20"/>
    </w:rPr>
  </w:style>
  <w:style w:type="paragraph" w:customStyle="1" w:styleId="63">
    <w:name w:val="p0"/>
    <w:qFormat/>
    <w:uiPriority w:val="0"/>
    <w:rPr>
      <w:rFonts w:ascii="Times New Roman" w:hAnsi="Times New Roman" w:eastAsia="宋体" w:cs="Times New Roman"/>
      <w:szCs w:val="21"/>
      <w:lang w:val="en-US" w:eastAsia="zh-CN" w:bidi="ar-SA"/>
    </w:rPr>
  </w:style>
  <w:style w:type="paragraph" w:customStyle="1" w:styleId="6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65">
    <w:name w:val="正文缩进4格"/>
    <w:basedOn w:val="48"/>
    <w:qFormat/>
    <w:uiPriority w:val="0"/>
    <w:pPr>
      <w:ind w:left="2" w:firstLine="538" w:firstLineChars="192"/>
    </w:pPr>
    <w:rPr>
      <w:color w:val="000000"/>
      <w:sz w:val="28"/>
    </w:rPr>
  </w:style>
  <w:style w:type="paragraph" w:customStyle="1" w:styleId="66">
    <w:name w:val="正文_0_0"/>
    <w:basedOn w:val="1"/>
    <w:qFormat/>
    <w:uiPriority w:val="0"/>
  </w:style>
  <w:style w:type="character" w:customStyle="1" w:styleId="67">
    <w:name w:val="HTML 预设格式 Char"/>
    <w:semiHidden/>
    <w:qFormat/>
    <w:uiPriority w:val="99"/>
    <w:rPr>
      <w:rFonts w:ascii="Courier New" w:hAnsi="Courier New" w:cs="Courier New"/>
      <w:kern w:val="2"/>
    </w:rPr>
  </w:style>
  <w:style w:type="paragraph" w:styleId="68">
    <w:name w:val="List Paragraph"/>
    <w:basedOn w:val="1"/>
    <w:qFormat/>
    <w:uiPriority w:val="34"/>
    <w:pPr>
      <w:ind w:firstLine="42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12438</Words>
  <Characters>13023</Characters>
  <Lines>305</Lines>
  <Paragraphs>234</Paragraphs>
  <TotalTime>3</TotalTime>
  <ScaleCrop>false</ScaleCrop>
  <LinksUpToDate>false</LinksUpToDate>
  <CharactersWithSpaces>13857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2021-04-16T06:47:00Z</dcterms:created>
  <dc:creator>User</dc:creator>
  <cp:lastModifiedBy>沈璐</cp:lastModifiedBy>
  <cp:lastPrinted>2023-10-08T06:05:00Z</cp:lastPrinted>
  <dcterms:modified xsi:type="dcterms:W3CDTF">2025-08-11T01:15:41Z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72B05554B28241C9BD61B29538A3E332_13</vt:lpwstr>
  </property>
  <property fmtid="{D5CDD505-2E9C-101B-9397-08002B2CF9AE}" pid="4" name="KSOTemplateDocerSaveRecord">
    <vt:lpwstr>eyJoZGlkIjoiZTI2Mzc1ZDcxZGM2NjNjZTI4Mzk3ZWQ2NjRjMDA0NzQiLCJ1c2VySWQiOiIxNjIxODY5MzQ4In0=</vt:lpwstr>
  </property>
</Properties>
</file>